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14293-2024 i Mora kommun</w:t>
      </w:r>
    </w:p>
    <w:p>
      <w:r>
        <w:t>Detta dokument behandlar höga naturvärden i avverkningsanmälan A 14293-2024 i Mora kommun. Denna avverkningsanmälan inkom 2024-04-11 15:20:12 och omfattar 7,4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garnlav (NT), talltita (NT, §4), dropptaggsvamp (S) och tjäder (§4).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99763"/>
            <wp:docPr id="1" name="Picture 1"/>
            <wp:cNvGraphicFramePr>
              <a:graphicFrameLocks noChangeAspect="1"/>
            </wp:cNvGraphicFramePr>
            <a:graphic>
              <a:graphicData uri="http://schemas.openxmlformats.org/drawingml/2006/picture">
                <pic:pic>
                  <pic:nvPicPr>
                    <pic:cNvPr id="0" name="A 14293-2024 karta.png"/>
                    <pic:cNvPicPr/>
                  </pic:nvPicPr>
                  <pic:blipFill>
                    <a:blip r:embed="rId16"/>
                    <a:stretch>
                      <a:fillRect/>
                    </a:stretch>
                  </pic:blipFill>
                  <pic:spPr>
                    <a:xfrm>
                      <a:off x="0" y="0"/>
                      <a:ext cx="5486400" cy="659976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6764903, E 467707 i SWEREF 99 TM.</w:t>
      </w:r>
    </w:p>
    <w:p>
      <w:r>
        <w:rPr>
          <w:b/>
        </w:rPr>
        <w:t>Dropptaggsvamp</w:t>
      </w:r>
      <w:r>
        <w:t xml:space="preserve"> bildar mykorrhiza med tall, huvudsakligen i äldre skog. Total population i landet bedöms ha minskat och fortsatt minska på grund av slutavverkningar och förhöja kvävenivåer i marken som en följd av skogsgödsling. Dropptaggsvamp är typisk art för </w:t>
      </w:r>
      <w:r>
        <w:rPr>
          <w:i/>
        </w:rPr>
        <w:t xml:space="preserve">9010 Taiga </w:t>
      </w:r>
      <w:r>
        <w:t>(SLU Artdatabanken, 2025).</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2024).</w:t>
      </w:r>
    </w:p>
    <w:p>
      <w:pPr>
        <w:pStyle w:val="Heading1"/>
      </w:pPr>
      <w:r>
        <w:t>Fridlysta arter</w:t>
      </w:r>
    </w:p>
    <w:p>
      <w:r>
        <w:t>Följande fridlysta arter har sina livsmiljöer och växtplatser i den avverkningsanmälda skogen: talltita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