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47866-2025 i Mora kommun</w:t>
      </w:r>
    </w:p>
    <w:p>
      <w:r>
        <w:t>Detta klagomål behandlar höga naturvärden i avverkningsanmälan A 47866-2025 i Mora kommun som inkom 2025-10-02 och omfattar 13,1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47866-2025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6748342, E 457900 i SWEREF 99 TM.</w:t>
      </w:r>
    </w:p>
    <w:p>
      <w:r>
        <w:t>I och inom 17 meter från avverkningsanmälan finns fynd av 23 naturvårdsarter, varav 14 är rödlistade, 7 är fridlysta, 17 är typiska (T) och 6 är signalarter (S): fläckporing (VU, T), garnlav (VU, T), gräddporing (VU, T), knärot (VU, T, §8), dvärgbägarlav (NT, T), hornvaxskinn (NT), kolflarnlav (NT, T), kortskaftad ärgspik (NT), nordtagging (NT), talltagel (NT, T), talltita (NT, §4), ullticka (NT, T), varglav (NT, §8), vedskivlav (NT, T), barkticka (S, T), bronshjon (S, T), korallblylav (S, T), mindre märgborre (S, T), plattlummer (S, T, §9), vedticka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710094"/>
            <wp:docPr id="2" name="Picture 2"/>
            <wp:cNvGraphicFramePr>
              <a:graphicFrameLocks noChangeAspect="1"/>
            </wp:cNvGraphicFramePr>
            <a:graphic>
              <a:graphicData uri="http://schemas.openxmlformats.org/drawingml/2006/picture">
                <pic:pic>
                  <pic:nvPicPr>
                    <pic:cNvPr id="0" name="A 47866-2025 karta knärot.png"/>
                    <pic:cNvPicPr/>
                  </pic:nvPicPr>
                  <pic:blipFill>
                    <a:blip r:embed="rId17"/>
                    <a:stretch>
                      <a:fillRect/>
                    </a:stretch>
                  </pic:blipFill>
                  <pic:spPr>
                    <a:xfrm>
                      <a:off x="0" y="0"/>
                      <a:ext cx="5486400" cy="57100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6748342, E 457900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