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5140-2024 i Mora kommun</w:t>
      </w:r>
    </w:p>
    <w:p>
      <w:r>
        <w:t>Detta dokument behandlar höga naturvärden i avverkningsanmälan A 5140-2024 i Mora kommun. Denna avverkningsanmälan inkom 2024-02-08 och omfattar 9,0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27 naturvårdsarter hittats: knärot (VU, §8), rynkskinn (VU), sprickporing (VU), blågrå svartspik (NT), dvärgbägarlav (NT), garnlav (NT), gropticka (NT), gränsticka (NT), kortskaftad ärgspik (NT), mörk kolflarnlav (NT), rosenticka (NT), stjärntagging (NT), tallticka (NT), talltita (NT, §4), tretåig hackspett (NT, §4), ullticka (NT), vedflamlav (NT), vedskivlav (NT), vedtrappmossa (NT), violettgrå tagellav (NT), vitgrynig nållav (NT), bronshjon (S), dropptaggsvamp (S), gullgröppa (S), mindre märgborre (S), vedticka (S) och vågbandad barkbock (S). Av dessa är 21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00760"/>
            <wp:docPr id="1" name="Picture 1"/>
            <wp:cNvGraphicFramePr>
              <a:graphicFrameLocks noChangeAspect="1"/>
            </wp:cNvGraphicFramePr>
            <a:graphic>
              <a:graphicData uri="http://schemas.openxmlformats.org/drawingml/2006/picture">
                <pic:pic>
                  <pic:nvPicPr>
                    <pic:cNvPr id="0" name="A 5140-2024 karta.png"/>
                    <pic:cNvPicPr/>
                  </pic:nvPicPr>
                  <pic:blipFill>
                    <a:blip r:embed="rId16"/>
                    <a:stretch>
                      <a:fillRect/>
                    </a:stretch>
                  </pic:blipFill>
                  <pic:spPr>
                    <a:xfrm>
                      <a:off x="0" y="0"/>
                      <a:ext cx="5486400" cy="45007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6757618, E 436374 i SWEREF 99 TM.</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Gropticka (NT)</w:t>
      </w:r>
      <w:r>
        <w:t xml:space="preserve"> är en bra signalart som visar på skyddsvärda barrskogar i södra halvan av landet och kan betraktas som en sydlig ”urskogsindikator” eller gammelskogsindikator. Skogsbestånd där gropticka återfinns bör lämnas till fri utveckling. För att bibehålla arten i landet på sikt krävs att fler områden med gammal barrskog skyddas i Götaland och Svealand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(Pettersson, 2014; Hedgren, 2012; Gunnarsson m fl., 1999).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Sprickporing (VU)</w:t>
      </w:r>
      <w:r>
        <w:t>, rödlistad som sårbar, är en sällsynt art som växer på senvuxen gran i lågproduktiva miljöer, ett substrat som nybildas i mycket liten skala i modern produktionsskog. Arten bedöms ha minskat kraftigt, med mer än 30 % över de senaste 20 åren, huvudsakligen på grund av slutavverkningar. I bestånd där arten förekommer måste skogsbruk undvikas. Fler av artens lokaler bör skyddas (SLU Artdatabanken, 2024).</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(SLU Artdatabanken, 2024; Nitare &amp; Skogsstyrelsen, 2019).</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knärot (VU, §8), talltita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1.88 ha med buffertzonerna och får av detta skäl inte avverkas.</w:t>
      </w:r>
    </w:p>
    <w:p>
      <w:pPr>
        <w:pStyle w:val="Caption"/>
      </w:pPr>
      <w:r>
        <w:drawing>
          <wp:inline xmlns:a="http://schemas.openxmlformats.org/drawingml/2006/main" xmlns:pic="http://schemas.openxmlformats.org/drawingml/2006/picture">
            <wp:extent cx="5486400" cy="5494983"/>
            <wp:docPr id="2" name="Picture 2"/>
            <wp:cNvGraphicFramePr>
              <a:graphicFrameLocks noChangeAspect="1"/>
            </wp:cNvGraphicFramePr>
            <a:graphic>
              <a:graphicData uri="http://schemas.openxmlformats.org/drawingml/2006/picture">
                <pic:pic>
                  <pic:nvPicPr>
                    <pic:cNvPr id="0" name="A 5140-2024 karta knärot.png"/>
                    <pic:cNvPicPr/>
                  </pic:nvPicPr>
                  <pic:blipFill>
                    <a:blip r:embed="rId17"/>
                    <a:stretch>
                      <a:fillRect/>
                    </a:stretch>
                  </pic:blipFill>
                  <pic:spPr>
                    <a:xfrm>
                      <a:off x="0" y="0"/>
                      <a:ext cx="5486400" cy="549498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6757618, E 436374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(Pettersson, 2014).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