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38847-2022 i Falu kommun</w:t>
      </w:r>
    </w:p>
    <w:p>
      <w:r>
        <w:t>Detta klagomål behandlar höga naturvärden i avverkningsanmälan A 38847-2022 i Falu kommun som inkom 2022-09-12 och omfattar 4,9 ha.</w:t>
      </w:r>
    </w:p>
    <w:p>
      <w:pPr>
        <w:pStyle w:val="Caption"/>
      </w:pPr>
      <w:r>
        <w:drawing>
          <wp:inline xmlns:a="http://schemas.openxmlformats.org/drawingml/2006/main" xmlns:pic="http://schemas.openxmlformats.org/drawingml/2006/picture">
            <wp:extent cx="5175204" cy="5724000"/>
            <wp:docPr id="1" name="Picture 1"/>
            <wp:cNvGraphicFramePr>
              <a:graphicFrameLocks noChangeAspect="1"/>
            </wp:cNvGraphicFramePr>
            <a:graphic>
              <a:graphicData uri="http://schemas.openxmlformats.org/drawingml/2006/picture">
                <pic:pic>
                  <pic:nvPicPr>
                    <pic:cNvPr id="0" name="A 38847-2022 karta.png"/>
                    <pic:cNvPicPr/>
                  </pic:nvPicPr>
                  <pic:blipFill>
                    <a:blip r:embed="rId16"/>
                    <a:stretch>
                      <a:fillRect/>
                    </a:stretch>
                  </pic:blipFill>
                  <pic:spPr>
                    <a:xfrm>
                      <a:off x="0" y="0"/>
                      <a:ext cx="517520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6739645, E 523059 i SWEREF 99 TM.</w:t>
      </w:r>
    </w:p>
    <w:p>
      <w:r>
        <w:t>I och inom 25 meter från avverkningsanmälan finns fynd av 12 naturvårdsarter, varav 8 är rödlistade, 2 är fridlysta, 8 är typiska (T) och 3 är signalarter (S): garnlav (VU, T), ulltickeporing (VU), dropptaggsvamp (NT, T), tallriska (NT), tallticka (NT, T), tretåig hackspett (NT, T, §4), ullticka (NT, T), violettgrå tagellav (NT, T), bronshjon (S, T), gullgröppa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