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2076-2022 i Falu kommun</w:t>
      </w:r>
    </w:p>
    <w:p>
      <w:r>
        <w:t>Detta klagomål behandlar höga naturvärden i samrådsanmälan S 2076-2022 i Falu kommun som inkom 2022-04-21 och omfattar 130,9 ha.</w:t>
      </w:r>
    </w:p>
    <w:p>
      <w:pPr>
        <w:pStyle w:val="Caption"/>
      </w:pPr>
      <w:r>
        <w:drawing>
          <wp:inline xmlns:a="http://schemas.openxmlformats.org/drawingml/2006/main" xmlns:pic="http://schemas.openxmlformats.org/drawingml/2006/picture">
            <wp:extent cx="4189732" cy="5724000"/>
            <wp:docPr id="1" name="Picture 1"/>
            <wp:cNvGraphicFramePr>
              <a:graphicFrameLocks noChangeAspect="1"/>
            </wp:cNvGraphicFramePr>
            <a:graphic>
              <a:graphicData uri="http://schemas.openxmlformats.org/drawingml/2006/picture">
                <pic:pic>
                  <pic:nvPicPr>
                    <pic:cNvPr id="0" name="S 2076-2022 karta.png"/>
                    <pic:cNvPicPr/>
                  </pic:nvPicPr>
                  <pic:blipFill>
                    <a:blip r:embed="rId16"/>
                    <a:stretch>
                      <a:fillRect/>
                    </a:stretch>
                  </pic:blipFill>
                  <pic:spPr>
                    <a:xfrm>
                      <a:off x="0" y="0"/>
                      <a:ext cx="4189732" cy="5724000"/>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6753055, E 546618 i SWEREF 99 TM.</w:t>
      </w:r>
    </w:p>
    <w:p>
      <w:r>
        <w:t>Inom 21 meter från samrådsanmälan finns fynd av 10 naturvårdsarter, varav 6 är rödlistade, 1 är fridlyst, 7 är typiska (T) och 4 är signalarter (S): garnlav (VU, T), knärot (VU, T, §8), norsk näverlav (VU), kattfotslav (NT, T), kortskaftad ärgspik (NT), skuggblåslav (NT, T), guldlockmossa (S, T), gulnål (S, T), platt fjädermossa (S, T) och purpurmylia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2076-2022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6753055, E 546618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Purpurmylia </w:t>
      </w:r>
      <w:r>
        <w:t>indikerar mycket hög och jämn fuktighet, både i substratet och i luften, samt kalkfattiga och fukthållande underlag. Förekomster i skog signalerar höga naturvärden. Arten kräver i låglandet äldre skog med riklig tillgång på grova lågor som fått ligga länge i skugga och i kontakt med fuktig mark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10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