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som inkom 2026-03-18 och omfattar 44,5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