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36966-2022 i Falu kommun</w:t>
      </w:r>
    </w:p>
    <w:p>
      <w:r>
        <w:t>Detta dokument behandlar höga naturvärden i avverkningsanmälan A 36966-2022 i Falu kommun. Denna avverkningsanmälan inkom 2022-09-02 00:00:00 och omfattar 4,2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 naturvårdsarter hittats: knärot (VU, §8), rynkskinn (VU) och granticka (NT). Av dessa är 3 rödlistade. För rödlistade arter har rödlistekategorin angivits inom parentes.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693203"/>
            <wp:docPr id="1" name="Picture 1"/>
            <wp:cNvGraphicFramePr>
              <a:graphicFrameLocks noChangeAspect="1"/>
            </wp:cNvGraphicFramePr>
            <a:graphic>
              <a:graphicData uri="http://schemas.openxmlformats.org/drawingml/2006/picture">
                <pic:pic>
                  <pic:nvPicPr>
                    <pic:cNvPr id="0" name="A 36966-2022 karta.png"/>
                    <pic:cNvPicPr/>
                  </pic:nvPicPr>
                  <pic:blipFill>
                    <a:blip r:embed="rId16"/>
                    <a:stretch>
                      <a:fillRect/>
                    </a:stretch>
                  </pic:blipFill>
                  <pic:spPr>
                    <a:xfrm>
                      <a:off x="0" y="0"/>
                      <a:ext cx="5486400" cy="469320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6717936, E 525783 i SWEREF 99 TM.</w:t>
      </w:r>
    </w:p>
    <w:p>
      <w:r>
        <w:rPr>
          <w:b/>
        </w:rPr>
        <w:t>Granticka</w:t>
      </w:r>
      <w:r>
        <w:t xml:space="preserve"> förekommer främst i äldre skogar med naturskogskaraktär, liksom i dimensionsavverkade och plockhuggna skogar. I äldre grannaturskog i norra Sverige är den alltjämt en förhållandevis vanlig karaktärsart, medan den längre söderut blir allt mer sällsynt. I Götaland och delar av Svealand är den en god signalart för skyddsvärda granskogsmiljöer. Arten bedöms ha minskat starkt under senare år på grund av skogsavverkningar, då den framför allt växer i äldre granskog med långvarig grankontinuitet. I urskogsliknande bestånd i norra Sverige kan ibland påträffas den mycket sällsynta tickan grantickeporing (VU), som lever på döda grantickor. Det som tidigare inbegripit grantickan har visat sig röra sig om två arter; tajgagranticka </w:t>
      </w:r>
      <w:r>
        <w:rPr>
          <w:i/>
        </w:rPr>
        <w:t>Porodaedalea abietis</w:t>
      </w:r>
      <w:r>
        <w:t xml:space="preserve"> (LC) och </w:t>
      </w:r>
      <w:r>
        <w:rPr>
          <w:i/>
        </w:rPr>
        <w:t>Porodaedalea chrysoloma</w:t>
      </w:r>
      <w:r>
        <w:t xml:space="preserve"> (DD). Den nordligare arten, tajgagranticka, bildar större fruktkroppar och har sin främsta förekomst i norra Sverige, medan den mer tunnköttiga arten, </w:t>
      </w:r>
      <w:r>
        <w:rPr>
          <w:i/>
        </w:rPr>
        <w:t>P. chrysoloma</w:t>
      </w:r>
      <w:r>
        <w:t>, förekommer i sydöstra Sverige och på Gotland (SLU Artdatabanken, 2026; Nitare &amp; Skogsstyrelsen, 2019).</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Fridlysta arter</w:t>
      </w:r>
    </w:p>
    <w:p>
      <w:r>
        <w:t>Följande fridlysta arter har sina livsmiljöer och växtplatser i den avverkningsanmälda skogen: knärot (VU, §8).</w:t>
      </w:r>
    </w:p>
    <w:p>
      <w:r>
        <w:rPr>
          <w:b/>
        </w:rPr>
        <w:t>Knärot (VU, §8)</w:t>
      </w:r>
      <w:r>
        <w:t xml:space="preserve"> är typisk art för </w:t>
      </w:r>
      <w:r>
        <w:rPr>
          <w:i/>
        </w:rPr>
        <w:t xml:space="preserve">9010 Taiga </w:t>
      </w:r>
      <w:r>
        <w:t>och</w:t>
      </w:r>
      <w:r>
        <w:rPr>
          <w:i/>
        </w:rPr>
        <w:t xml:space="preserve"> 9050 Näringsrik granskog</w:t>
      </w:r>
      <w:r>
        <w:t xml:space="preserve">, rödlistad som sårbar och fridlyst enligt 8§ artskyddsförordningen. En nyligen genomförd analys av 79 floraväktarlokaler indikerar att det behövs någonstans mellan 100 och 150 meters skyddszon för att en knärotspopulation inte ska dö ut på lång sikt (Sebestyén &amp; Sundberg, 2025). Detta ligger väl i linje med tidigare genomförda studier som visar att det krävs väl tilltagna buffertzoner för att knäroten inte ska ta skada av skogsbruksåtgärder i intilliggande skog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På knärot kan den sällsynta rostsvampen </w:t>
      </w:r>
      <w:r>
        <w:rPr>
          <w:i/>
        </w:rPr>
        <w:t>Pucciniastrum goodyerae</w:t>
      </w:r>
      <w:r>
        <w:t xml:space="preserve"> påträffas. </w:t>
      </w:r>
      <w:r>
        <w:rPr>
          <w:i/>
        </w:rPr>
        <w:t>Pucciniastrum goodyerae</w:t>
      </w:r>
      <w:r>
        <w:t xml:space="preserve"> är klassad som NE (ej bedömd) i rödlistan (SLU Artdatabanken, 2024).</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0.79 ha med buffertzonerna och får av detta skäl inte avverkas.</w:t>
      </w:r>
    </w:p>
    <w:p>
      <w:pPr>
        <w:pStyle w:val="Caption"/>
      </w:pPr>
      <w:r>
        <w:drawing>
          <wp:inline xmlns:a="http://schemas.openxmlformats.org/drawingml/2006/main" xmlns:pic="http://schemas.openxmlformats.org/drawingml/2006/picture">
            <wp:extent cx="5486400" cy="5601903"/>
            <wp:docPr id="2" name="Picture 2"/>
            <wp:cNvGraphicFramePr>
              <a:graphicFrameLocks noChangeAspect="1"/>
            </wp:cNvGraphicFramePr>
            <a:graphic>
              <a:graphicData uri="http://schemas.openxmlformats.org/drawingml/2006/picture">
                <pic:pic>
                  <pic:nvPicPr>
                    <pic:cNvPr id="0" name="A 36966-2022 karta knärot.png"/>
                    <pic:cNvPicPr/>
                  </pic:nvPicPr>
                  <pic:blipFill>
                    <a:blip r:embed="rId17"/>
                    <a:stretch>
                      <a:fillRect/>
                    </a:stretch>
                  </pic:blipFill>
                  <pic:spPr>
                    <a:xfrm>
                      <a:off x="0" y="0"/>
                      <a:ext cx="5486400" cy="5601903"/>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6717936, E 525783 i SWEREF 99 TM.</w:t>
      </w:r>
    </w:p>
    <w:p>
      <w:pPr>
        <w:pStyle w:val="Caption"/>
      </w:pP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 xml:space="preserve">Knärot är typisk art för </w:t>
      </w:r>
      <w:r>
        <w:rPr>
          <w:i/>
        </w:rPr>
        <w:t xml:space="preserve">9010 Taiga </w:t>
      </w:r>
      <w:r>
        <w:t>och</w:t>
      </w:r>
      <w:r>
        <w:rPr>
          <w:i/>
        </w:rPr>
        <w:t xml:space="preserve"> 9050 Näringsrik granskog</w:t>
      </w:r>
      <w:r>
        <w:t>,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2024).</w:t>
      </w:r>
    </w:p>
    <w:p>
      <w:r>
        <w:t>En analys av 79 floraväktarlokaler åren 1990–2015 vilka återbesökts under 2020–2024 visade på en tydlig negativ påverkan på knärotsförekomster från större hyggen i närområdet (inom 150–200 m) vilket indikerar att kanteffekter har en stor påverkan på populationerna. Resultaten bekräftar knärotens känslighet för kanteffekter och visar vikten av att skydda större skogsbestånd för att bevara arten. Om det blir höga andelar (&gt;30%) hyggen inom 200 meter från en knärotsförekomst så ökar risken för att en knärotspopulation dör ut och det verkar det behövas någonstans mellan 100 och 150 meters skyddszon för att bevara arten på lång sikt (Sebestyén &amp; Sundberg, 2025).</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r>
        <w:t>Vid tillämpning av försiktighetsprincipen enligt 2 kap. 3 § miljöbalken bör sålunda 100–150 meters skyddszon lämnas runt knärotens växtplatser.</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Ecological Applications, 22, 2049–2064</w:t>
      </w:r>
    </w:p>
    <w:p>
      <w:r>
        <w:t xml:space="preserve">Johnson, S., 2014. </w:t>
      </w:r>
      <w:r>
        <w:rPr>
          <w:i/>
        </w:rPr>
        <w:t>Retention Forestry as a Conservation Measure for Boreal Forest Ground Vegetation</w:t>
      </w:r>
      <w:r>
        <w:t>. Doktorsavhandling, SLU, Uppsala</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Sebestyén, L. och Sundberg, S. 2025.  </w:t>
      </w:r>
      <w:r>
        <w:rPr>
          <w:i/>
        </w:rPr>
        <w:t>Påverkan på knärotslokaler från hyggen i närheten.</w:t>
      </w:r>
      <w:r>
        <w:t xml:space="preserve"> DAPHNE 36:1 2025. Botaniska Sällskapet i Stockholm</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2026-04-17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