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592-2025 i Falu kommun</w:t>
      </w:r>
    </w:p>
    <w:p>
      <w:r>
        <w:t>Denna tillsynsbegäran behandlar höga naturvärden i samrådsanmälan S 592-2025 i Falu kommun som inkom 2025-02-24 och omfattar 5,4 ha.</w:t>
      </w:r>
    </w:p>
    <w:p>
      <w:pPr>
        <w:pStyle w:val="Caption"/>
      </w:pPr>
      <w:r>
        <w:drawing>
          <wp:inline xmlns:a="http://schemas.openxmlformats.org/drawingml/2006/main" xmlns:pic="http://schemas.openxmlformats.org/drawingml/2006/picture">
            <wp:extent cx="5336499" cy="5724000"/>
            <wp:docPr id="1" name="Picture 1"/>
            <wp:cNvGraphicFramePr>
              <a:graphicFrameLocks noChangeAspect="1"/>
            </wp:cNvGraphicFramePr>
            <a:graphic>
              <a:graphicData uri="http://schemas.openxmlformats.org/drawingml/2006/picture">
                <pic:pic>
                  <pic:nvPicPr>
                    <pic:cNvPr id="0" name="S 592-2025 karta.png"/>
                    <pic:cNvPicPr/>
                  </pic:nvPicPr>
                  <pic:blipFill>
                    <a:blip r:embed="rId16"/>
                    <a:stretch>
                      <a:fillRect/>
                    </a:stretch>
                  </pic:blipFill>
                  <pic:spPr>
                    <a:xfrm>
                      <a:off x="0" y="0"/>
                      <a:ext cx="5336499"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6739624, E 523066 i SWEREF 99 TM.</w:t>
      </w:r>
    </w:p>
    <w:p>
      <w:r>
        <w:t>I och inom 1 meter från samrådsanmälan finns fynd av 11 naturvårdsarter, varav 7 är rödlistade, 2 är fridlysta, 7 är typiska (T) och 3 är signalarter (S): garnlav (VU, T), ulltickeporing (VU), dropptaggsvamp (NT, T), tallriska (NT), tretåig hackspett (NT, T, §4), ullticka (NT, T), violettgrå tagellav (NT, T), bronshjon (S, T), gullgröppa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tretåig hackspett (NT, T, §4), ullticka (NT, T), violettgrå tagellav (NT, T), bronshjon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