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31622-2023 i Falu kommun</w:t>
      </w:r>
    </w:p>
    <w:p>
      <w:r>
        <w:t>Denna tillsynsbegäran behandlar höga naturvärden i avverkningsanmälan A 31622-2023 i Falu kommun som inkom 2023-07-10 och omfattar 6,6 ha.</w:t>
      </w:r>
    </w:p>
    <w:p>
      <w:pPr>
        <w:pStyle w:val="Caption"/>
      </w:pPr>
      <w:r>
        <w:drawing>
          <wp:inline xmlns:a="http://schemas.openxmlformats.org/drawingml/2006/main" xmlns:pic="http://schemas.openxmlformats.org/drawingml/2006/picture">
            <wp:extent cx="5486400" cy="4511281"/>
            <wp:docPr id="1" name="Picture 1"/>
            <wp:cNvGraphicFramePr>
              <a:graphicFrameLocks noChangeAspect="1"/>
            </wp:cNvGraphicFramePr>
            <a:graphic>
              <a:graphicData uri="http://schemas.openxmlformats.org/drawingml/2006/picture">
                <pic:pic>
                  <pic:nvPicPr>
                    <pic:cNvPr id="0" name="A 31622-2023 karta.png"/>
                    <pic:cNvPicPr/>
                  </pic:nvPicPr>
                  <pic:blipFill>
                    <a:blip r:embed="rId16"/>
                    <a:stretch>
                      <a:fillRect/>
                    </a:stretch>
                  </pic:blipFill>
                  <pic:spPr>
                    <a:xfrm>
                      <a:off x="0" y="0"/>
                      <a:ext cx="5486400" cy="451128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6727821, E 525606 i SWEREF 99 TM.</w:t>
      </w:r>
    </w:p>
    <w:p>
      <w:r>
        <w:t>I och inom 25 meter från avverkningsanmälan finns fynd av 6 naturvårdsarter, varav 2 är rödlistade, 4 är fridlysta, 5 är typiska (T) och 2 är signalarter (S): knärot (VU, T, §8), gultoppig fingersvamp (NT), grönpyrola (S, T), plattlummer (S, T, §9), mattlummer (T, §9)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20 fyndplatser för knärot registrerade på Artportalen. Figur 2 visar gränserna för buffertzoner på 50 m, som behöver lämnas kring fyndplatserna för att knärotslokalerna inte ska försvinna vid en avverkning. Av det avverkningsanmälda området överlappar 2.40 ha med buffertzonerna och får av detta skäl inte avverkas.</w:t>
      </w:r>
    </w:p>
    <w:p>
      <w:pPr>
        <w:pStyle w:val="Caption"/>
      </w:pPr>
      <w:r>
        <w:drawing>
          <wp:inline xmlns:a="http://schemas.openxmlformats.org/drawingml/2006/main" xmlns:pic="http://schemas.openxmlformats.org/drawingml/2006/picture">
            <wp:extent cx="5486400" cy="5724426"/>
            <wp:docPr id="2" name="Picture 2"/>
            <wp:cNvGraphicFramePr>
              <a:graphicFrameLocks noChangeAspect="1"/>
            </wp:cNvGraphicFramePr>
            <a:graphic>
              <a:graphicData uri="http://schemas.openxmlformats.org/drawingml/2006/picture">
                <pic:pic>
                  <pic:nvPicPr>
                    <pic:cNvPr id="0" name="A 31622-2023 karta knärot.png"/>
                    <pic:cNvPicPr/>
                  </pic:nvPicPr>
                  <pic:blipFill>
                    <a:blip r:embed="rId17"/>
                    <a:stretch>
                      <a:fillRect/>
                    </a:stretch>
                  </pic:blipFill>
                  <pic:spPr>
                    <a:xfrm>
                      <a:off x="0" y="0"/>
                      <a:ext cx="5486400" cy="572442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6727821, E 525606 i SWEREF 99 TM.</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grönpyrola (S, T), plattlummer (S, T, §9), mattlummer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