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2076-2022 i Falu kommun</w:t>
      </w:r>
    </w:p>
    <w:p>
      <w:r>
        <w:t>Denna tillsynsbegäran behandlar höga naturvärden i samrådsanmälan S 2076-2022 i Falu kommun som inkom 2022-04-21 och omfattar 130,9 ha.</w:t>
      </w:r>
    </w:p>
    <w:p>
      <w:pPr>
        <w:pStyle w:val="Caption"/>
      </w:pPr>
      <w:r>
        <w:drawing>
          <wp:inline xmlns:a="http://schemas.openxmlformats.org/drawingml/2006/main" xmlns:pic="http://schemas.openxmlformats.org/drawingml/2006/picture">
            <wp:extent cx="4189732" cy="5724000"/>
            <wp:docPr id="1" name="Picture 1"/>
            <wp:cNvGraphicFramePr>
              <a:graphicFrameLocks noChangeAspect="1"/>
            </wp:cNvGraphicFramePr>
            <a:graphic>
              <a:graphicData uri="http://schemas.openxmlformats.org/drawingml/2006/picture">
                <pic:pic>
                  <pic:nvPicPr>
                    <pic:cNvPr id="0" name="S 2076-2022 karta.png"/>
                    <pic:cNvPicPr/>
                  </pic:nvPicPr>
                  <pic:blipFill>
                    <a:blip r:embed="rId16"/>
                    <a:stretch>
                      <a:fillRect/>
                    </a:stretch>
                  </pic:blipFill>
                  <pic:spPr>
                    <a:xfrm>
                      <a:off x="0" y="0"/>
                      <a:ext cx="4189732" cy="5724000"/>
                    </a:xfrm>
                    <a:prstGeom prst="rect"/>
                  </pic:spPr>
                </pic:pic>
              </a:graphicData>
            </a:graphic>
          </wp:inline>
        </w:drawing>
      </w:r>
    </w:p>
    <w:p>
      <w:pPr>
        <w:pStyle w:val="Caption"/>
        <w:spacing w:after="240"/>
      </w:pPr>
      <w:r>
        <w:t>Figur 1. Fyndplatser för naturvårdsarter inom 21 meter från samrådsanmälan. Markörer utan svart kant är placerade på fyndplatsen. Markörer med svart kant är placerade vid sidan av fyndplatsen och har ett svart streck som visar fyndplatsens exakta position. Kartans mittpunktskoordinat är N 6753055, E 546618 i SWEREF 99 TM.</w:t>
      </w:r>
    </w:p>
    <w:p>
      <w:r>
        <w:t>Inom 21 meter från samrådsanmälan finns fynd av 10 naturvårdsarter, varav 6 är rödlistade, 1 är fridlyst, 7 är typiska (T) och 4 är signalarter (S): garnlav (VU, T), knärot (VU, T, §8), norsk näverlav (VU), kattfotslav (NT, T), kortskaftad ärgspik (NT), skuggblåslav (NT, T), guldlockmossa (S, T), gulnål (S, T), platt fjädermossa (S, T) och purpurmylia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1 fyndplatser för knärot registrerade på Artportalen. Figur 2 visar gränserna för buffertzoner på 50 m, som behöver lämnas kring fyndplatserna för att knärotslokalerna inte ska försvinna vid en avverkning. Av det samrådsanmälda området överlappar 0.15 ha med buffertzonerna och får av detta skäl inte avverkas.</w:t>
      </w:r>
    </w:p>
    <w:p>
      <w:pPr>
        <w:pStyle w:val="Caption"/>
      </w:pPr>
      <w:r>
        <w:drawing>
          <wp:inline xmlns:a="http://schemas.openxmlformats.org/drawingml/2006/main" xmlns:pic="http://schemas.openxmlformats.org/drawingml/2006/picture">
            <wp:extent cx="5486400" cy="10972800"/>
            <wp:docPr id="2" name="Picture 2"/>
            <wp:cNvGraphicFramePr>
              <a:graphicFrameLocks noChangeAspect="1"/>
            </wp:cNvGraphicFramePr>
            <a:graphic>
              <a:graphicData uri="http://schemas.openxmlformats.org/drawingml/2006/picture">
                <pic:pic>
                  <pic:nvPicPr>
                    <pic:cNvPr id="0" name="S 2076-2022 karta knärot.png"/>
                    <pic:cNvPicPr/>
                  </pic:nvPicPr>
                  <pic:blipFill>
                    <a:blip r:embed="rId17"/>
                    <a:stretch>
                      <a:fillRect/>
                    </a:stretch>
                  </pic:blipFill>
                  <pic:spPr>
                    <a:xfrm>
                      <a:off x="0" y="0"/>
                      <a:ext cx="5486400" cy="10972800"/>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6753055, E 546618 i SWEREF 99 TM.</w:t>
      </w:r>
    </w:p>
    <w:p>
      <w:r>
        <w:rPr>
          <w:b/>
        </w:rPr>
        <w:t>Norsk näverlav (VU)</w:t>
      </w:r>
      <w:r>
        <w:t>, rödlistad som sårbar, är en suboceanisk art och påträffas bara i områden med hög och jämn luftfuktighet. Den växer i fuktiga granskogar, främst på stammar eller grenar av äldre björkar och granar. Arten är placerad i toppen av Skogsstyrelsens värdepyramid för bedömning av skog med höga naturvärden och försvinner eller missgynnas starkt vid all form av avverkning på eller i anslutning till lokalerna. Norsk näverlav har en hög andel av sin världspopulation i Norge och Sverige vilket medför ett särskilt ansvar för arten (Nitare &amp; Skogsstyrelsen, 2019; SLU Artdatabanken, 2024).</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 xml:space="preserve">Purpurmylia </w:t>
      </w:r>
      <w:r>
        <w:t>indikerar mycket hög och jämn fuktighet, både i substratet och i luften, samt kalkfattiga och fukthållande underlag. Förekomster i skog signalerar höga naturvärden. Arten kräver i låglandet äldre skog med riklig tillgång på grova lågor som fått ligga länge i skugga och i kontakt med fuktig mark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garnlav (VU, T), knärot (VU, T, §8), kattfotslav (NT, T), skuggblåslav (NT, T), guldlockmossa (S, T), gulnål (S, T) och platt fjädermossa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