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18031-2026 i Falu kommun</w:t>
      </w:r>
    </w:p>
    <w:p>
      <w:r>
        <w:t>Denna tillsynsbegäran behandlar höga naturvärden i avverkningsanmälan A 18031-2026 i Falu kommun som inkom 2026-04-13 och omfattar 9,1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18031-2026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6765255, E 544320 i SWEREF 99 TM.</w:t>
      </w:r>
    </w:p>
    <w:p>
      <w:r>
        <w:t>I avverkningsanmälan finns fynd av 2 naturvårdsarter, varav 1 är rödlistad, 1 är typisk (T) och 1 är signalart (S): slät tallkapuschongbagge (NT)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Slät tallkapuschongbagge (NT)</w:t>
      </w:r>
      <w:r>
        <w:t xml:space="preserve"> är knuten till skogsbrand och artens larvutveckling sker i innerbarken på nyligen brända barrträd, företrädesvis tall. Vanligen återfinns skalbaggen runt brandljud på levande, brandskadade träd där arten ofta utvecklas i gränsen mellan levande och död vävnad. Arten hotas av brandbekämpning och avverkning av brandskadad barrskog. Slät tallkapuschongbagge omfattas av åtgärdsprogram för hotade arter (ÅGP) samt av EU:s art- och habitatdirektiv där dess bevarandestatus är dålig. Bränd skog bör inte avverkas, gäller särskilt tall.  (SLU Artdatabanken, 2024; Wikars, 2006).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Slät tallkapuschongbagge – ekologi samt krav på livsmiljön</w:t>
      </w:r>
    </w:p>
    <w:p>
      <w:r>
        <w:t>Slät tallkapuschongbagge (NT) är knuten till skogsbrand och artens larvutveckling sker i innerbarken på nyligen brända barrträd, företrädesvis tall. Vanligen återfinns skalbaggen runt brandljud på levande, brandskadade träd där arten ofta utvecklas i gränsen mellan levande och död vävnad. Ibland lever skalbaggen kvar i träd som dött långsamt av brandskadorna, och angreppen kan i extrema fall fortgå upp till tjugo år efter branden (SLU Artdatabanken, 2024; Wikars, 2006).</w:t>
      </w:r>
    </w:p>
    <w:p>
      <w:r>
        <w:t>Arten hotas av brandbekämpning och avverkning av brandskadad barrskog. Bränd skog bör inte avverkas, gäller särskilt tall. Naturvårdsbränning gynnar arten, och bör anpassas så att barrträd brandskadas men överlever och utvecklar s.k. brandljud. Särskilt gynnsamt för arten är att bränna upprepade gånger i samma och närliggande områden. Slät tallkapuschongbagge omfattas av åtgärdsprogram för hotade arter samt av EU:s art- och habitatdirektiv där dess bevarandestatus är dålig (SLU Artdatabanken, 2024; Wikars, 2006).</w:t>
      </w:r>
    </w:p>
    <w:p>
      <w:pPr>
        <w:pStyle w:val="Heading2"/>
      </w:pPr>
      <w:r>
        <w:t>Referenser – slät tallkapuschongbagge</w:t>
      </w:r>
    </w:p>
    <w:p>
      <w:r>
        <w:t xml:space="preserve">SLU Artdatabanken, 2024. </w:t>
      </w:r>
      <w:r>
        <w:rPr>
          <w:i/>
        </w:rPr>
        <w:t>Artfakta: slät tallkapuschongbagge (Stephanopachys linearis</w:t>
      </w:r>
      <w:r>
        <w:t>).</w:t>
      </w:r>
    </w:p>
    <w:p>
      <w:r>
        <w:t>https://artfakta.se/taxa/101849</w:t>
      </w:r>
    </w:p>
    <w:p>
      <w:r>
        <w:t xml:space="preserve">Wikars, L.-O., 2006. </w:t>
      </w:r>
      <w:r>
        <w:rPr>
          <w:i/>
        </w:rPr>
        <w:t>Åtgärdsprogram för bevarande av brandinsekter i boreal skog</w:t>
      </w:r>
      <w:r>
        <w:t xml:space="preserve"> (Rapport 5610). Stockholm: Naturvårdsverket. https://www.naturvardsverket.se/om-oss/publikationer/5600/atgardsprogram-brandinsekter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