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49753-2019 i Falu kommun</w:t>
      </w:r>
    </w:p>
    <w:p>
      <w:r>
        <w:t>Detta dokument behandlar höga naturvärden i avverkningsanmälan A 49753-2019 i Falu kommun. Denna avverkningsanmälan inkom 2019-09-23 och omfattar 19,9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23 naturvårdsarter hittats: fläckporing (VU), gräddporing (VU), smal trollknäppare (VU), smalfotad taggsvamp (VU), tajgataggsvamp (VU), vedsäckmossa (VU), blanksvart spiklav (NT), dvärgbägarlav (NT), garnlav (NT), gränsticka (NT), kolflarnlav (NT), kortskaftad ärgspik (NT), mörk kolflarnlav (NT), nordtagging (NT), tallticka (NT), vaddporing (NT), varglav (NT, §8), vedskivlav (NT), bronshjon (S), dropptaggsvamp (S), skuggblåslav (S), vedticka (S) och huggorm (§6). Av dessa är 18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4906"/>
            <wp:docPr id="1" name="Picture 1"/>
            <wp:cNvGraphicFramePr>
              <a:graphicFrameLocks noChangeAspect="1"/>
            </wp:cNvGraphicFramePr>
            <a:graphic>
              <a:graphicData uri="http://schemas.openxmlformats.org/drawingml/2006/picture">
                <pic:pic>
                  <pic:nvPicPr>
                    <pic:cNvPr id="0" name="A 49753-2019 karta.png"/>
                    <pic:cNvPicPr/>
                  </pic:nvPicPr>
                  <pic:blipFill>
                    <a:blip r:embed="rId16"/>
                    <a:stretch>
                      <a:fillRect/>
                    </a:stretch>
                  </pic:blipFill>
                  <pic:spPr>
                    <a:xfrm>
                      <a:off x="0" y="0"/>
                      <a:ext cx="5486400" cy="41449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6756614, E 542246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Vedsäckmossa (VU)</w:t>
      </w:r>
      <w:r>
        <w:t xml:space="preserve"> växer på grova lågor, framför allt i näringsrika, fuktiga och urskogsartade granskogar. Arten är placerad högst upp i Skogsstyrelsens värdepyramid för bedömning av skog med höga naturvärden och signalerar naturskog med höga naturvärden. Den indikerar även skyddsvärda alsumpskogar med riklig och kontinuerlig förekomst av död ved. Kända lokaler bör ges ett ändamålsenligt skydd och undantas från skogsbruk. Lokalerna behöver också vara tillräckligt stora så att god tillgång på lämplig ved tryggas på lång sikt (SLU Artdatabanken, 2024; Nitare &amp; Skogsstyrelsen, 2019).</w:t>
      </w:r>
    </w:p>
    <w:p>
      <w:pPr>
        <w:pStyle w:val="Heading1"/>
      </w:pPr>
      <w:r>
        <w:t>Fridlysta arter</w:t>
      </w:r>
    </w:p>
    <w:p>
      <w:r>
        <w:t>Följande fridlysta arter har sina livsmiljöer och växtplatser i den avverkningsanmälda skogen: varglav (NT, §8) och huggorm (§6).</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