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2470-2024 i Falu kommun</w:t>
      </w:r>
    </w:p>
    <w:p>
      <w:r>
        <w:t>Detta dokument behandlar höga naturvärden i avverkningsanmälan A 2470-2024 i Falu kommun. Denna avverkningsanmälan inkom 2024-01-22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broktagel (EN), garnlav (NT), bronshjon (S) och mörk husmossa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9581"/>
            <wp:docPr id="1" name="Picture 1"/>
            <wp:cNvGraphicFramePr>
              <a:graphicFrameLocks noChangeAspect="1"/>
            </wp:cNvGraphicFramePr>
            <a:graphic>
              <a:graphicData uri="http://schemas.openxmlformats.org/drawingml/2006/picture">
                <pic:pic>
                  <pic:nvPicPr>
                    <pic:cNvPr id="0" name="A 2470-2024 karta.png"/>
                    <pic:cNvPicPr/>
                  </pic:nvPicPr>
                  <pic:blipFill>
                    <a:blip r:embed="rId16"/>
                    <a:stretch>
                      <a:fillRect/>
                    </a:stretch>
                  </pic:blipFill>
                  <pic:spPr>
                    <a:xfrm>
                      <a:off x="0" y="0"/>
                      <a:ext cx="5486400" cy="4009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6738352, E 522221 i SWEREF 99 TM.</w:t>
      </w:r>
    </w:p>
    <w:p>
      <w:r>
        <w:rPr>
          <w:b/>
        </w:rPr>
        <w:t>Broktagel (EN)</w:t>
      </w:r>
      <w:r>
        <w:t xml:space="preserve"> är en suboceanisk lav med en något västlig utbredning i landet och förekommer på klippor och i enstaka fall träd, framförallt i gamla barrskogar med hög luftfuktighet. Arten är placerad högst upp i Skogsstyrelsens värdepyramid för bedömning av skog med höga naturvärden och indikerar hög och jämn luftfuktighet. I norra Sverige tycks den kringliggande skogens fuktighetsbevarande funktion vara avgörande för artens överlevnad och avverkning av skog där den förekommer utgör ett hot mot arten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4653409"/>
            <wp:docPr id="2" name="Picture 2"/>
            <wp:cNvGraphicFramePr>
              <a:graphicFrameLocks noChangeAspect="1"/>
            </wp:cNvGraphicFramePr>
            <a:graphic>
              <a:graphicData uri="http://schemas.openxmlformats.org/drawingml/2006/picture">
                <pic:pic>
                  <pic:nvPicPr>
                    <pic:cNvPr id="0" name="A 2470-2024 karta knärot.png"/>
                    <pic:cNvPicPr/>
                  </pic:nvPicPr>
                  <pic:blipFill>
                    <a:blip r:embed="rId17"/>
                    <a:stretch>
                      <a:fillRect/>
                    </a:stretch>
                  </pic:blipFill>
                  <pic:spPr>
                    <a:xfrm>
                      <a:off x="0" y="0"/>
                      <a:ext cx="5486400" cy="46534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6738352, E 522221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