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61535-2022 i Falu kommun</w:t>
      </w:r>
    </w:p>
    <w:p>
      <w:r>
        <w:t>Detta klagomål behandlar höga naturvärden i avverkningsanmälan A 61535-2022 i Falu kommun som inkom 2022-12-21 och omfattar 13,1 ha.</w:t>
      </w:r>
    </w:p>
    <w:p>
      <w:pPr>
        <w:pStyle w:val="Caption"/>
      </w:pPr>
      <w:r>
        <w:drawing>
          <wp:inline xmlns:a="http://schemas.openxmlformats.org/drawingml/2006/main" xmlns:pic="http://schemas.openxmlformats.org/drawingml/2006/picture">
            <wp:extent cx="5486400" cy="4898167"/>
            <wp:docPr id="1" name="Picture 1"/>
            <wp:cNvGraphicFramePr>
              <a:graphicFrameLocks noChangeAspect="1"/>
            </wp:cNvGraphicFramePr>
            <a:graphic>
              <a:graphicData uri="http://schemas.openxmlformats.org/drawingml/2006/picture">
                <pic:pic>
                  <pic:nvPicPr>
                    <pic:cNvPr id="0" name="A 61535-2022 karta.png"/>
                    <pic:cNvPicPr/>
                  </pic:nvPicPr>
                  <pic:blipFill>
                    <a:blip r:embed="rId16"/>
                    <a:stretch>
                      <a:fillRect/>
                    </a:stretch>
                  </pic:blipFill>
                  <pic:spPr>
                    <a:xfrm>
                      <a:off x="0" y="0"/>
                      <a:ext cx="5486400" cy="4898167"/>
                    </a:xfrm>
                    <a:prstGeom prst="rect"/>
                  </pic:spPr>
                </pic:pic>
              </a:graphicData>
            </a:graphic>
          </wp:inline>
        </w:drawing>
      </w:r>
    </w:p>
    <w:p>
      <w:pPr>
        <w:pStyle w:val="Caption"/>
        <w:spacing w:after="240"/>
      </w:pPr>
      <w:r>
        <w:t>Figur 1. Fyndplatser för naturvårdsarter i och inom 24 meter från avverkningsanmälan. Markörer utan svart kant är placerade på fyndplatsen. Markörer med svart kant är placerade vid sidan av fyndplatsen och har ett svart streck som visar fyndplatsens exakta position. Kartans mittpunktskoordinat är N 6714611, E 523940 i SWEREF 99 TM.</w:t>
      </w:r>
    </w:p>
    <w:p>
      <w:r>
        <w:t>I och inom 24 meter från avverkningsanmälan finns fynd av 7 naturvårdsarter, varav 5 är rödlistade, 5 är fridlysta, 5 är typiska (T) och 1 är signalart (S): knärot (VU, T, §8), entita (NT, T, §4), rosenticka (NT, T), sparvuggla (NT, §4), talltita (NT, §4), tibast (S, T) och spillkråka (T,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1 fyndplatser för knärot registrerade på Artportalen. Figur 2 visar gränserna för buffertzoner på 50 m, som behöver lämnas kring fyndplatserna för att knärotslokalerna inte ska försvinna vid en avverkning. Av det avverkningsanmälda området överlappar 0.41 ha med buffertzonerna och får av detta skäl inte avverkas.</w:t>
      </w:r>
    </w:p>
    <w:p>
      <w:pPr>
        <w:pStyle w:val="Caption"/>
      </w:pPr>
      <w:r>
        <w:drawing>
          <wp:inline xmlns:a="http://schemas.openxmlformats.org/drawingml/2006/main" xmlns:pic="http://schemas.openxmlformats.org/drawingml/2006/picture">
            <wp:extent cx="5486400" cy="4769963"/>
            <wp:docPr id="2" name="Picture 2"/>
            <wp:cNvGraphicFramePr>
              <a:graphicFrameLocks noChangeAspect="1"/>
            </wp:cNvGraphicFramePr>
            <a:graphic>
              <a:graphicData uri="http://schemas.openxmlformats.org/drawingml/2006/picture">
                <pic:pic>
                  <pic:nvPicPr>
                    <pic:cNvPr id="0" name="A 61535-2022 karta knärot.png"/>
                    <pic:cNvPicPr/>
                  </pic:nvPicPr>
                  <pic:blipFill>
                    <a:blip r:embed="rId17"/>
                    <a:stretch>
                      <a:fillRect/>
                    </a:stretch>
                  </pic:blipFill>
                  <pic:spPr>
                    <a:xfrm>
                      <a:off x="0" y="0"/>
                      <a:ext cx="5486400" cy="4769963"/>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6714611, E 523940 i SWEREF 99 TM.</w:t>
      </w:r>
    </w:p>
    <w:p>
      <w:r>
        <w:rPr>
          <w:b/>
        </w:rPr>
        <w:t>Entita (NT, §4)</w:t>
      </w:r>
      <w:r>
        <w:t xml:space="preserve">, rödlistad som nära hotad och prioriterad art i Skogsvårdslagen, har häckningsrevir i anmälan. Minskningstakten innevarande 10-årsperiod beräknas till 20 (10–30) % och bedöms vara nära gränsvärdet för Sårbar (VU). Entitan är ortstrogen och reviret är i genomsnitt omkring 5 hektar, ibland uppåt 20 hektar stort. Entitan är en utpräglad lövskogsfågel som föredrar flerskiktade, gärna högvuxna skogar med inslag av äldre träd och välutvecklat buskskikt. Även alkärr med videsnår hör till de miljöer som utnyttjas. Arten häckar ofta i skogar som är svagt eller inte alls påverkade av skogsbruk, ofta rör det sig om värdekärnor med höga naturvärden. Entitan missgynnas av konventionellt skogsbruk och dess ortstrohet och dåliga spridningsförmåga gör den känslig för fragmentering. Entita är typisk art för </w:t>
      </w:r>
      <w:r>
        <w:rPr>
          <w:i/>
        </w:rPr>
        <w:t>9080 Lövsumpskog</w:t>
      </w:r>
      <w:r>
        <w:t xml:space="preserve"> (Skogsstyrelsen, 2016, SLU Artdatabanken, 2021).</w:t>
      </w:r>
    </w:p>
    <w:p>
      <w:r>
        <w:rPr>
          <w:b/>
        </w:rPr>
        <w:t>Rosenticka (NT)</w:t>
      </w:r>
      <w:r>
        <w:t xml:space="preserve">, rödlistad som nära hotad, ingår i en karaktäristisk association av vedsvampar som växer på gamla, grova granlågor i urskogsartade barrskogar. Den är placerad i toppen av Skogsstyrelsens värdepyramid för bedömning av skog med höga naturvärden och indikerar ett granskogsekosystem med långvarig kontinuitet av grova lågor. Artens beroende av grova granlågor innebär att alla skogsskötselåtgärder på eller i omedelbar närhet av lokalerna utgör ett hot på lång sikt. Det är angeläget att populationerna inte ytterligare glesas ut och ett tillräckligt antal områden där arten nu finns måste sparas för framtiden. Rosenticka är typisk art för </w:t>
      </w:r>
      <w:r>
        <w:rPr>
          <w:i/>
        </w:rPr>
        <w:t xml:space="preserve">9010 Taiga </w:t>
      </w:r>
      <w:r>
        <w:t xml:space="preserve">och </w:t>
      </w:r>
      <w:r>
        <w:rPr>
          <w:i/>
        </w:rPr>
        <w:t>9050 Näringsrik granskog</w:t>
      </w:r>
      <w:r>
        <w:t xml:space="preserve"> (Nitare &amp; Skogsstyrelsen, 2019; SLU Artdatabanken, 2024).</w:t>
      </w:r>
    </w:p>
    <w:p>
      <w:r>
        <w:rPr>
          <w:b/>
        </w:rPr>
        <w:t>Sparvuggla (NT, §4)</w:t>
      </w:r>
      <w:r>
        <w:t xml:space="preserve"> är fridlyst enligt 4§ artskyddsförordningen och omfattas av bilaga 1 EU:s fågeldirektiv. Den har minskat med 15 (5–25) % under de senaste 15 åren och minskningstakten för den svenska populationen bedöms vara nära gränsvärdet för Sårbar (VU).  Sparvugglan häckar i naturskog samt i klassisk bondeskog och förekommer främst i större skogsområden som domineras av barrblandskog med stort inslag av asp, björk och andra lövträd. Den behöver relativt stora skogsområden och saknas helt i mindre skogar och isolerade dungar. Reviren är i storleksordningen upp till 200 hektar. Sparvugglan missgynnas av överföring av variationsrika bondeskogar till ensartade produktionsskogar. Särskilt avverkning av lövträdsrika kantzoner och igenplantering av gamla inägor (SLU Artdatabanken, 2026; Skogsstyrelsen, 2016).</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rPr>
          <w:b/>
        </w:rPr>
        <w:t>Tibast</w:t>
      </w:r>
      <w:r>
        <w:t xml:space="preserve"> är en kalkgynnad buske som växer på mullrik, frisk eller svagt fuktig mark, exempelvis i gamla kalkgranskogar, lövträdslundar, varma källpåverkade sluttningar och exklusiva biotoper kopplade till vattendrag. Förekomster i gammal skog visar på höga naturvärden och bör alltid noteras i samband med naturvärdesinventeringar. Tibast är typisk art för </w:t>
      </w:r>
      <w:r>
        <w:rPr>
          <w:i/>
        </w:rPr>
        <w:t>9050 Näringsrik granskog</w:t>
      </w:r>
      <w:r>
        <w:t xml:space="preserve"> och värdväxt för de två fjärilsarterna större tibastmal och brun tibastmal (CR) (SLU Artdatabanken, 2024; Nitare &amp; Skogsstyrelsen, 2019).</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7 naturvårdsarter varav 5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p>
      <w:pPr>
        <w:pStyle w:val="Heading1"/>
      </w:pPr>
      <w:r>
        <w:t>Entita – ekologi samt krav på livsmiljön</w:t>
      </w:r>
    </w:p>
    <w:p>
      <w:r>
        <w:t xml:space="preserve">Entita (NT, §4) är rödlistad som nära hotad, fridlyst och prioriterad art enligt Skogsvårdslagen. Den omfattas av EU:s fågeldirektiv och är typisk art för </w:t>
      </w:r>
      <w:r>
        <w:rPr>
          <w:i/>
        </w:rPr>
        <w:t>9080 Lövsumpskog</w:t>
      </w:r>
      <w:r>
        <w:t>. Minskningstakten har uppgått till 20 (10–30) % under de senaste 10 åren och bedöms vara nära gränsvärdet för Sårbar (VU). (A2b) (SLU Artdatabanken, 2021).</w:t>
      </w:r>
    </w:p>
    <w:p>
      <w:r>
        <w:t>Entitan är en utpräglad lövskogsfågel som påträffas i ädellövskogar, strandskogar, ekhagar, igenväxande hagmarker, lövdungar, parker och trädgårdar. Den föredrar flerskiktade, gärna högvuxna skogar med inslag av äldre träd och med ett välutvecklat buskskikt. Ek- och hasseldominerade skogar och dungar, samt alkärr med videsnår, hör till de miljöer som ofta utnyttjas. I sydligaste Sverige är bokskog en viktig miljö (Skogsstyrelsen, 2016).</w:t>
      </w:r>
    </w:p>
    <w:p>
      <w:r>
        <w:t>Reviren är relativt stora för en småfågel, i genomsnitt omkring 5 hektar men de kan vara upp till 20 hektar. Entitan är en utpräglad stannfågel och rör sig inte långt från kläckningsplatsen; ungfåglarna sprider sig sällan mer än 5 km från födelseplatsen och etablerade fåglar lämnar därefter inte sitt revir (Skogsstyrelsen, 2016). Det häckande paret försvarar sitt revir året runt. De tillåter dock en grupp av ungfåglar att etablera sig inom deras revir och så bildas en vinterflock, vilket sker redan i juni månad. Även under kalla vintrar stannar entitan kvar inom sitt revir. Hittar man entitor vid sitt foderbord beror det på att fågelmatningen ligger inom ett entiterevir (SLU Artdatabanken, 2021). Arten är känslig för fragmentering och har svårt att etablera sig i isolerade skogsområden. Entitan är hålhäckare, men kan inte själv hacka fram sitt hål utan är beroende av miljöer som erbjuder naturliga hål (Skogsstyrelsen, 2016).</w:t>
      </w:r>
    </w:p>
    <w:p>
      <w:r>
        <w:t>Arten häckar ofta i skogar som är svagt eller inte alls påverkade av skogsbruk. Särskilt i Svealand ofta i skogar som har höga naturvärden och utgör skogliga värdekärnor. Entitan missgynnas av konventionellt skogsbruk genom minskad förekomst av risiga, flerskiktade skogar liksom av avverkning av lövträdsrika kantzoner. Entitans ortstrohet och dåliga spridningsförmåga gör den känslig för fragmentering (Skogsstyrelsen, 2016).</w:t>
      </w:r>
    </w:p>
    <w:p>
      <w:pPr>
        <w:pStyle w:val="Heading2"/>
      </w:pPr>
      <w:r>
        <w:t>Referenser – entita</w:t>
      </w:r>
    </w:p>
    <w:p>
      <w:r>
        <w:t xml:space="preserve">Skogsstyrelsen, 2016. </w:t>
      </w:r>
      <w:r>
        <w:rPr>
          <w:i/>
        </w:rPr>
        <w:t xml:space="preserve">Vägledning för hänsyn till entita. </w:t>
      </w:r>
      <w:r>
        <w:t>https://www.skogsstyrelsen.se/globalassets/lag-och-tillsyn/artskydd/vagledningar-for-hansyn-till-faglar/entita-vagledning-hansyn2.pdf</w:t>
      </w:r>
    </w:p>
    <w:p>
      <w:r>
        <w:t xml:space="preserve">SLU Artdatabanken, 2021. </w:t>
      </w:r>
      <w:r>
        <w:rPr>
          <w:i/>
        </w:rPr>
        <w:t xml:space="preserve">Artfaktablad. Naturvård – artfakta. </w:t>
      </w:r>
      <w:r>
        <w:t>SLU Artdatabanken, Uppsala</w:t>
      </w:r>
    </w:p>
    <w:p>
      <w:pPr>
        <w:pStyle w:val="Heading1"/>
      </w:pPr>
      <w:r>
        <w:t>Sparvuggla – ekologi samt krav på livsmiljön</w:t>
      </w:r>
    </w:p>
    <w:p>
      <w:r>
        <w:t>Sparvuggla (NT, §4) är fridlyst enligt 4§ artskyddsförordningen och omfattas av bilaga 1 EU:s fågeldirektiv. Den har minskat med 15 (5–25) % under de senaste 15 åren och minskningstakten för den svenska populationen bedöms vara nära gränsvärdet för Sårbar (VU) (SLU Artdatabanken 2026).</w:t>
      </w:r>
    </w:p>
    <w:p>
      <w:r>
        <w:t>Sparvugglan häckar i naturskog samt i klassisk bondeskog och förekommer främst i större skogsområden som domineras av barrblandskog med stort inslag av asp, björk och andra lövträd. Den behöver relativt stora skogsområden och saknas helt i mindre skogar och isolerade dungar. Reviren är i storleksordningen upp till 200 hektar. Sparvugglan missgynnas av överföring av variationsrika bondeskogar till ensartade produktionsskogar – särskilt avverkning av lövträdsrika kantzoner och igenplantering av gamla inägor (Skogsstyrelsen, 2016).</w:t>
      </w:r>
    </w:p>
    <w:p>
      <w:pPr>
        <w:pStyle w:val="Heading2"/>
      </w:pPr>
      <w:r>
        <w:t>Referenser – sparvuggla</w:t>
      </w:r>
    </w:p>
    <w:p>
      <w:r>
        <w:t xml:space="preserve">Skogsstyrelsen, 2016. </w:t>
      </w:r>
      <w:r>
        <w:rPr>
          <w:i/>
        </w:rPr>
        <w:t>Vägledning för hänsyn till sparvuggla.</w:t>
      </w:r>
    </w:p>
    <w:p>
      <w:r>
        <w:t xml:space="preserve">SLU Artdatabanken, 2026. </w:t>
      </w:r>
      <w:r>
        <w:rPr>
          <w:i/>
        </w:rPr>
        <w:t xml:space="preserve">Artfaktablad. Naturvård – artfakta. </w:t>
      </w:r>
      <w:r>
        <w:t>SLU Artdatabanken, Uppsala.</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2026-10-15</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