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1439-2023 i Falu kommun</w:t>
      </w:r>
    </w:p>
    <w:p>
      <w:r>
        <w:t>Denna tillsynsbegäran behandlar höga naturvärden i avverkningsanmälan A 1439-2023 i Falu kommun som inkom 2023-01-11 och omfattar 8,1 ha.</w:t>
      </w:r>
    </w:p>
    <w:p>
      <w:pPr>
        <w:pStyle w:val="Caption"/>
      </w:pPr>
      <w:r>
        <w:drawing>
          <wp:inline xmlns:a="http://schemas.openxmlformats.org/drawingml/2006/main" xmlns:pic="http://schemas.openxmlformats.org/drawingml/2006/picture">
            <wp:extent cx="4966700" cy="5724000"/>
            <wp:docPr id="1" name="Picture 1"/>
            <wp:cNvGraphicFramePr>
              <a:graphicFrameLocks noChangeAspect="1"/>
            </wp:cNvGraphicFramePr>
            <a:graphic>
              <a:graphicData uri="http://schemas.openxmlformats.org/drawingml/2006/picture">
                <pic:pic>
                  <pic:nvPicPr>
                    <pic:cNvPr id="0" name="A 1439-2023 karta.png"/>
                    <pic:cNvPicPr/>
                  </pic:nvPicPr>
                  <pic:blipFill>
                    <a:blip r:embed="rId16"/>
                    <a:stretch>
                      <a:fillRect/>
                    </a:stretch>
                  </pic:blipFill>
                  <pic:spPr>
                    <a:xfrm>
                      <a:off x="0" y="0"/>
                      <a:ext cx="4966700"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6727379, E 541090 i SWEREF 99 TM.</w:t>
      </w:r>
    </w:p>
    <w:p>
      <w:r>
        <w:t>Inom 21 meter från avverkningsanmälan finns fynd av 4 naturvårdsarter, varav 1 är rödlistad, 4 är fridlysta och 2 är typiska (T): enkelbeckasin (NT, §4), gråspett (T, §4), spillkråka (T,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