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41484-2025 i Falu kommun</w:t>
      </w:r>
    </w:p>
    <w:p>
      <w:r>
        <w:t>Detta dokument behandlar höga naturvärden i avverkningsanmälan A 41484-2025 i Falu kommun. Denna avverkningsanmälan inkom 2025-09-01 11:26:42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bullspindling (VU), knärot (VU, §8), svart taggsvamp (NT), talltita (NT, §4), vitgrynig nållav (NT), bronshjon (S), skarp dropptaggsvamp (S), kungsfågel (§4), mattlummer (§9)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0732"/>
            <wp:docPr id="1" name="Picture 1"/>
            <wp:cNvGraphicFramePr>
              <a:graphicFrameLocks noChangeAspect="1"/>
            </wp:cNvGraphicFramePr>
            <a:graphic>
              <a:graphicData uri="http://schemas.openxmlformats.org/drawingml/2006/picture">
                <pic:pic>
                  <pic:nvPicPr>
                    <pic:cNvPr id="0" name="A 41484-2025 karta.png"/>
                    <pic:cNvPicPr/>
                  </pic:nvPicPr>
                  <pic:blipFill>
                    <a:blip r:embed="rId16"/>
                    <a:stretch>
                      <a:fillRect/>
                    </a:stretch>
                  </pic:blipFill>
                  <pic:spPr>
                    <a:xfrm>
                      <a:off x="0" y="0"/>
                      <a:ext cx="5486400" cy="4290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6712122, E 542103 i SWEREF 99 TM.</w:t>
      </w:r>
    </w:p>
    <w:p>
      <w:r>
        <w:rPr>
          <w:b/>
        </w:rPr>
        <w:t>Bullspindling (VU)</w:t>
      </w:r>
      <w:r>
        <w:t xml:space="preserve"> är en kräsen och mycket bra signalart för skyddsvärda äldre granskogar på kalkrik mark. Den är placerad högst upp i Skogsstyrelsens värdepyramid för bedömning av skog med höga naturvärden och skogsbruk, främst kalavverkning utgör ett stort hot mot arten. Artens minskningstakt uppgår till 30 % inom 50 år och överstiger gränsvärdet för Sårbar (VU)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talltita (NT, §4), kungsfågel (§4),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36 fyndplatser för knärot registrerade på Artportalen. Figur 2 visar gränserna för buffertzoner på 50 m, som behöver lämnas kring fyndplatserna för att knärotslokalerna inte ska försvinna vid en avverkning. Av det avverkningsanmälda området överlappar 4.57 ha med buffertzonerna och får av detta skäl inte avverkas.</w:t>
      </w:r>
    </w:p>
    <w:p>
      <w:pPr>
        <w:pStyle w:val="Caption"/>
      </w:pPr>
      <w:r>
        <w:drawing>
          <wp:inline xmlns:a="http://schemas.openxmlformats.org/drawingml/2006/main" xmlns:pic="http://schemas.openxmlformats.org/drawingml/2006/picture">
            <wp:extent cx="5486400" cy="5220561"/>
            <wp:docPr id="2" name="Picture 2"/>
            <wp:cNvGraphicFramePr>
              <a:graphicFrameLocks noChangeAspect="1"/>
            </wp:cNvGraphicFramePr>
            <a:graphic>
              <a:graphicData uri="http://schemas.openxmlformats.org/drawingml/2006/picture">
                <pic:pic>
                  <pic:nvPicPr>
                    <pic:cNvPr id="0" name="A 41484-2025 karta knärot.png"/>
                    <pic:cNvPicPr/>
                  </pic:nvPicPr>
                  <pic:blipFill>
                    <a:blip r:embed="rId17"/>
                    <a:stretch>
                      <a:fillRect/>
                    </a:stretch>
                  </pic:blipFill>
                  <pic:spPr>
                    <a:xfrm>
                      <a:off x="0" y="0"/>
                      <a:ext cx="5486400" cy="52205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6712122, E 542103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