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52871-2025 i Falu kommun</w:t>
      </w:r>
    </w:p>
    <w:p>
      <w:r>
        <w:t>Detta klagomål behandlar höga naturvärden i avverkningsanmälan A 52871-2025 i Falu kommun som inkom 2025-10-24 och omfattar 3,0 ha.</w:t>
      </w:r>
    </w:p>
    <w:p>
      <w:pPr>
        <w:pStyle w:val="Caption"/>
      </w:pPr>
      <w:r>
        <w:drawing>
          <wp:inline xmlns:a="http://schemas.openxmlformats.org/drawingml/2006/main" xmlns:pic="http://schemas.openxmlformats.org/drawingml/2006/picture">
            <wp:extent cx="5486400" cy="5697560"/>
            <wp:docPr id="1" name="Picture 1"/>
            <wp:cNvGraphicFramePr>
              <a:graphicFrameLocks noChangeAspect="1"/>
            </wp:cNvGraphicFramePr>
            <a:graphic>
              <a:graphicData uri="http://schemas.openxmlformats.org/drawingml/2006/picture">
                <pic:pic>
                  <pic:nvPicPr>
                    <pic:cNvPr id="0" name="A 52871-2025 karta.png"/>
                    <pic:cNvPicPr/>
                  </pic:nvPicPr>
                  <pic:blipFill>
                    <a:blip r:embed="rId16"/>
                    <a:stretch>
                      <a:fillRect/>
                    </a:stretch>
                  </pic:blipFill>
                  <pic:spPr>
                    <a:xfrm>
                      <a:off x="0" y="0"/>
                      <a:ext cx="5486400" cy="569756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6716176, E 525667 i SWEREF 99 TM.</w:t>
      </w:r>
    </w:p>
    <w:p>
      <w:r>
        <w:t>I och inom 16 meter från avverkningsanmälan finns fynd av 17 naturvårdsarter, varav 7 är rödlistade, 13 är fridlysta, 8 är typiska (T) och 3 är signalarter (S): knärot (VU, T, §8), blanksvart spiklav (NT), drillsnäppa (NT, §4), entita (NT, T, §4), motaggsvamp (NT, T), sparvuggla (NT, §4), talltita (NT, §4), mindre märgborre (S, T), nästlav (S, T), plattlummer (S, T, §9), gråspett (T, §4), spillkråka (T, §4), slaguggla (§4), åkergroda (§4a), skogsödla (§6),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43 fyndplatser för knärot registrerade på Artportalen. Figur 2 visar gränserna för buffertzoner på 50 m, som behöver lämnas kring fyndplatserna för att knärotslokalerna inte ska försvinna vid en avverkning. Av det avverkningsanmälda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5446807"/>
            <wp:docPr id="2" name="Picture 2"/>
            <wp:cNvGraphicFramePr>
              <a:graphicFrameLocks noChangeAspect="1"/>
            </wp:cNvGraphicFramePr>
            <a:graphic>
              <a:graphicData uri="http://schemas.openxmlformats.org/drawingml/2006/picture">
                <pic:pic>
                  <pic:nvPicPr>
                    <pic:cNvPr id="0" name="A 52871-2025 karta knärot.png"/>
                    <pic:cNvPicPr/>
                  </pic:nvPicPr>
                  <pic:blipFill>
                    <a:blip r:embed="rId17"/>
                    <a:stretch>
                      <a:fillRect/>
                    </a:stretch>
                  </pic:blipFill>
                  <pic:spPr>
                    <a:xfrm>
                      <a:off x="0" y="0"/>
                      <a:ext cx="5486400" cy="54468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6716176, E 525667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