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4532-2024 i Falu kommun</w:t>
      </w:r>
    </w:p>
    <w:p>
      <w:r>
        <w:t>Denna tillsynsbegäran behandlar höga naturvärden i avverkningsanmälan A 4532-2024 i Falu kommun som inkom 2024-02-05 och omfattar 4,6 ha.</w:t>
      </w:r>
    </w:p>
    <w:p>
      <w:pPr>
        <w:pStyle w:val="Caption"/>
      </w:pPr>
      <w:r>
        <w:drawing>
          <wp:inline xmlns:a="http://schemas.openxmlformats.org/drawingml/2006/main" xmlns:pic="http://schemas.openxmlformats.org/drawingml/2006/picture">
            <wp:extent cx="5486400" cy="3727358"/>
            <wp:docPr id="1" name="Picture 1"/>
            <wp:cNvGraphicFramePr>
              <a:graphicFrameLocks noChangeAspect="1"/>
            </wp:cNvGraphicFramePr>
            <a:graphic>
              <a:graphicData uri="http://schemas.openxmlformats.org/drawingml/2006/picture">
                <pic:pic>
                  <pic:nvPicPr>
                    <pic:cNvPr id="0" name="A 4532-2024 karta.png"/>
                    <pic:cNvPicPr/>
                  </pic:nvPicPr>
                  <pic:blipFill>
                    <a:blip r:embed="rId16"/>
                    <a:stretch>
                      <a:fillRect/>
                    </a:stretch>
                  </pic:blipFill>
                  <pic:spPr>
                    <a:xfrm>
                      <a:off x="0" y="0"/>
                      <a:ext cx="5486400" cy="372735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6736862, E 519010 i SWEREF 99 TM.</w:t>
      </w:r>
    </w:p>
    <w:p>
      <w:r>
        <w:t>I och inom 21 meter från avverkningsanmälan finns fynd av 4 naturvårdsarter, varav 1 är rödlistad, 1 är fridlyst, 4 är typiska (T) och 2 är signalarter (S): vedtrappmossa (NT, T), stuplav (S,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