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47005-2025 i Falu kommun</w:t>
      </w:r>
    </w:p>
    <w:p>
      <w:r>
        <w:t>Detta dokument behandlar höga naturvärden i avverkningsanmälan A 47005-2025 i Falu kommun. Denna avverkningsanmälan inkom 2025-09-29 13:20:05 och omfattar 2,7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brun gräsfjäril (NT, §4a)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33009"/>
            <wp:docPr id="1" name="Picture 1"/>
            <wp:cNvGraphicFramePr>
              <a:graphicFrameLocks noChangeAspect="1"/>
            </wp:cNvGraphicFramePr>
            <a:graphic>
              <a:graphicData uri="http://schemas.openxmlformats.org/drawingml/2006/picture">
                <pic:pic>
                  <pic:nvPicPr>
                    <pic:cNvPr id="0" name="A 47005-2025 karta.png"/>
                    <pic:cNvPicPr/>
                  </pic:nvPicPr>
                  <pic:blipFill>
                    <a:blip r:embed="rId16"/>
                    <a:stretch>
                      <a:fillRect/>
                    </a:stretch>
                  </pic:blipFill>
                  <pic:spPr>
                    <a:xfrm>
                      <a:off x="0" y="0"/>
                      <a:ext cx="5486400" cy="3633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6713535, E 542761 i SWEREF 99 TM.</w:t>
      </w:r>
    </w:p>
    <w:p>
      <w:pPr>
        <w:pStyle w:val="Heading1"/>
      </w:pPr>
      <w:r>
        <w:t>Fridlysta arter</w:t>
      </w:r>
    </w:p>
    <w:p>
      <w:r>
        <w:t>Följande fridlysta arter har sina livsmiljöer och växtplatser i den avverkningsanmälda skogen: brun gräsfjäril (NT, §4a)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