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samrådsanmälan S 2076-2022 i Falu kommun</w:t>
      </w:r>
    </w:p>
    <w:p>
      <w:r>
        <w:t>Denna tillsynsbegäran behandlar höga naturvärden i samrådsanmälan S 2076-2022 i Falu kommun som inkom 2022-04-21 och omfattar 130,9 ha.</w:t>
      </w:r>
    </w:p>
    <w:p>
      <w:pPr>
        <w:pStyle w:val="Caption"/>
      </w:pPr>
      <w:r>
        <w:drawing>
          <wp:inline xmlns:a="http://schemas.openxmlformats.org/drawingml/2006/main" xmlns:pic="http://schemas.openxmlformats.org/drawingml/2006/picture">
            <wp:extent cx="4189732" cy="5724000"/>
            <wp:docPr id="1" name="Picture 1"/>
            <wp:cNvGraphicFramePr>
              <a:graphicFrameLocks noChangeAspect="1"/>
            </wp:cNvGraphicFramePr>
            <a:graphic>
              <a:graphicData uri="http://schemas.openxmlformats.org/drawingml/2006/picture">
                <pic:pic>
                  <pic:nvPicPr>
                    <pic:cNvPr id="0" name="S 2076-2022 karta.png"/>
                    <pic:cNvPicPr/>
                  </pic:nvPicPr>
                  <pic:blipFill>
                    <a:blip r:embed="rId16"/>
                    <a:stretch>
                      <a:fillRect/>
                    </a:stretch>
                  </pic:blipFill>
                  <pic:spPr>
                    <a:xfrm>
                      <a:off x="0" y="0"/>
                      <a:ext cx="4189732" cy="5724000"/>
                    </a:xfrm>
                    <a:prstGeom prst="rect"/>
                  </pic:spPr>
                </pic:pic>
              </a:graphicData>
            </a:graphic>
          </wp:inline>
        </w:drawing>
      </w:r>
    </w:p>
    <w:p>
      <w:pPr>
        <w:pStyle w:val="Caption"/>
        <w:spacing w:after="240"/>
      </w:pPr>
      <w:r>
        <w:t>Figur 1. Fyndplatser för naturvårdsarter inom 21 meter från samrådsanmälan. Markörer utan svart kant är placerade på fyndplatsen. Markörer med svart kant är placerade vid sidan av fyndplatsen och har ett svart streck som visar fyndplatsens exakta position. Kartans mittpunktskoordinat är N 6753055, E 546618 i SWEREF 99 TM.</w:t>
      </w:r>
    </w:p>
    <w:p>
      <w:r>
        <w:t>Inom 21 meter från samrådsanmälan finns fynd av 10 naturvårdsarter, varav 6 är rödlistade, 1 är fridlyst, 7 är typiska (T) och 4 är signalarter (S): garnlav (VU, T), knärot (VU, T, §8), norsk näverlav (VU), kattfotslav (NT, T), kortskaftad ärgspik (NT), skuggblåslav (NT, T), guldlockmossa (S, T), gulnål (S, T), platt fjädermossa (S, T) och purpurmylia (S).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samrådsanmälda området finns 1 fyndplatser för knärot registrerade på Artportalen. Figur 2 visar gränserna för buffertzoner på 50 m, som behöver lämnas kring fyndplatserna för att knärotslokalerna inte ska försvinna vid en avverkning. Av det samrådsanmälda området överlappar 0.15 ha med buffertzonerna och får av detta skäl inte avverkas.</w:t>
      </w:r>
    </w:p>
    <w:p>
      <w:pPr>
        <w:pStyle w:val="Caption"/>
      </w:pPr>
      <w:r>
        <w:drawing>
          <wp:inline xmlns:a="http://schemas.openxmlformats.org/drawingml/2006/main" xmlns:pic="http://schemas.openxmlformats.org/drawingml/2006/picture">
            <wp:extent cx="5486400" cy="10972800"/>
            <wp:docPr id="2" name="Picture 2"/>
            <wp:cNvGraphicFramePr>
              <a:graphicFrameLocks noChangeAspect="1"/>
            </wp:cNvGraphicFramePr>
            <a:graphic>
              <a:graphicData uri="http://schemas.openxmlformats.org/drawingml/2006/picture">
                <pic:pic>
                  <pic:nvPicPr>
                    <pic:cNvPr id="0" name="S 2076-2022 karta knärot.png"/>
                    <pic:cNvPicPr/>
                  </pic:nvPicPr>
                  <pic:blipFill>
                    <a:blip r:embed="rId17"/>
                    <a:stretch>
                      <a:fillRect/>
                    </a:stretch>
                  </pic:blipFill>
                  <pic:spPr>
                    <a:xfrm>
                      <a:off x="0" y="0"/>
                      <a:ext cx="5486400" cy="10972800"/>
                    </a:xfrm>
                    <a:prstGeom prst="rect"/>
                  </pic:spPr>
                </pic:pic>
              </a:graphicData>
            </a:graphic>
          </wp:inline>
        </w:drawing>
      </w:r>
    </w:p>
    <w:p>
      <w:pPr>
        <w:pStyle w:val="Caption"/>
        <w:spacing w:after="240"/>
      </w:pPr>
      <w:r>
        <w:t>Figur 2. Fyndplatser och buffertzoner för knärot i det samrådsanmälda området. Endast fyndplatser vars buffertzoner överlappar med det samrådsanmälda området har tagits med i visualiseringen. Kartans mittpunktskoordinat är N 6753055, E 546618 i SWEREF 99 TM.</w:t>
      </w:r>
    </w:p>
    <w:p>
      <w:r>
        <w:rPr>
          <w:b/>
        </w:rPr>
        <w:t>Norsk näverlav (VU)</w:t>
      </w:r>
      <w:r>
        <w:t>, rödlistad som sårbar, är en suboceanisk art och påträffas bara i områden med hög och jämn luftfuktighet. Den växer i fuktiga granskogar, främst på stammar eller grenar av äldre björkar och granar. Arten är placerad i toppen av Skogsstyrelsens värdepyramid för bedömning av skog med höga naturvärden och försvinner eller missgynnas starkt vid all form av avverkning på eller i anslutning till lokalerna. Norsk näverlav har en hög andel av sin världspopulation i Norge och Sverige vilket medför ett särskilt ansvar för arten (Nitare &amp; Skogsstyrelsen, 2019; SLU Artdatabanken, 2024).</w:t>
      </w:r>
    </w:p>
    <w:p>
      <w:r>
        <w:rPr>
          <w:b/>
        </w:rPr>
        <w:t xml:space="preserve">Kattfotslav (NT) </w:t>
      </w:r>
      <w:r>
        <w:t xml:space="preserve">är en mycket god signalart i hela sitt svenska utbredningsområde och skogsbestånd med kattfotslav är alltid värdefulla ur naturvårdssynpunkt. Arten indikerar dels ett mikroklimat med konstant hög luftfuktighet, dels kontinuitet av äldre träd och god trädslutenhet. Trots att den är vanligare i sydvästra Sverige växer den enbart i skogsbestånd med höga naturvärden. Den är känslig för skogliga ingrepp som kan förändra lokal- och mikroklimat. Kattfotslav är typisk art för </w:t>
      </w:r>
      <w:r>
        <w:rPr>
          <w:i/>
        </w:rPr>
        <w:t xml:space="preserve">9010 Taiga, 9160 Näringsrik ekskog </w:t>
      </w:r>
      <w:r>
        <w:t>och</w:t>
      </w:r>
      <w:r>
        <w:rPr>
          <w:i/>
        </w:rPr>
        <w:t xml:space="preserve"> 9190 Näringsfattig ekskog</w:t>
      </w:r>
      <w:r>
        <w:t xml:space="preserve"> (Nitare &amp; Skogsstyrelsen, 2019; SLU Artdatabanken, 2026).</w:t>
      </w:r>
    </w:p>
    <w:p>
      <w:r>
        <w:rPr>
          <w:b/>
        </w:rPr>
        <w:t>Kortskaftad ärgspik (NT)</w:t>
      </w:r>
      <w:r>
        <w:t xml:space="preserve"> förekommer i barrträdsdominerade skogar och växer nästan uteslutande på tallved. Den föredrar gamla högstubbar i fuktig och halvöppen miljö, t.ex. i myrkanter, sumpskog och brandpräglad skog. Arten indikerar kontinuerlig tillgång till gamla högstubbar i kombination med hög och jämn luftfuktighet. Skogsbruk på lokaler med kortskaftad ärgspik utgör ett hot. På lång sikt bildas färre lämpliga substrat än vad som försvinner. Avverkning av barrträdsdominerade bestånd av naturskogskaraktär utgör ett långsiktigt hot. Naturskogsartade bestånd med riklig förekomst av gamla och grova tallhögstubbar bör undantas från skogsbruk (SLU Artdatabanken, 2024).</w:t>
      </w:r>
    </w:p>
    <w:p>
      <w:r>
        <w:rPr>
          <w:b/>
        </w:rPr>
        <w:t>Skuggblåslav (NT)</w:t>
      </w:r>
      <w:r>
        <w:t xml:space="preserve"> växer på silikatsten eller gamla träd i äldre naturskogar med hög luftfuktighet. Den påverkas negativt av brist på kontinuitetsskog och minskningstakten för arten bedöms vara nära gränsvärdet för sårbar (VU). Skuggblåslav är typisk art för </w:t>
      </w:r>
      <w:r>
        <w:rPr>
          <w:i/>
        </w:rPr>
        <w:t xml:space="preserve">9010 Taiga </w:t>
      </w:r>
      <w:r>
        <w:t>(Nitare &amp; Skogsstyrelsen, 2019; SLU Artdatabanken, 2026).</w:t>
      </w:r>
    </w:p>
    <w:p>
      <w:r>
        <w:rPr>
          <w:b/>
        </w:rPr>
        <w:t>Guldlockmossa</w:t>
      </w:r>
      <w:r>
        <w:t xml:space="preserve"> växer på solexponerade, basiska klippor och block samt på skrovlig bark vid basen av ädellövträd med rik bark, ofta på gamla ekar, bokar och andra ädellövträd som står öppet i bryn. Särskilt högt signalvärde har den i norra Sverige där den sällsynt kan påträffas i sydväxtberg på klippor med basiska bergarter. Guldlockmossa är typisk art för </w:t>
      </w:r>
      <w:r>
        <w:rPr>
          <w:i/>
        </w:rPr>
        <w:t xml:space="preserve">9110 Näringsfattig bokskog, 9160 Näringsrik ekskog, 9180 Ädellövskog i branter </w:t>
      </w:r>
      <w:r>
        <w:t xml:space="preserve">och </w:t>
      </w:r>
      <w:r>
        <w:rPr>
          <w:i/>
        </w:rPr>
        <w:t xml:space="preserve">9190 Näringsfattig ekskog </w:t>
      </w:r>
      <w:r>
        <w:t>(Nitare &amp; Skogsstyrelsen, 2019; SLU Artdatabanken, 2025).</w:t>
      </w:r>
    </w:p>
    <w:p>
      <w:r>
        <w:rPr>
          <w:b/>
        </w:rPr>
        <w:t>Gulnål</w:t>
      </w:r>
      <w:r>
        <w:t xml:space="preserve"> växer mest på murknande lövträdsved och barrträdsved och förekommer i skuggiga miljöer med hög luftfuktighet. I södra Sverige är den en relativt bra signal på biotoper med höga naturvärden och följs ofta av sällsynta arter. Gulnål är typisk art för </w:t>
      </w:r>
      <w:r>
        <w:rPr>
          <w:i/>
        </w:rPr>
        <w:t>9110 Näringsfattig bokskog</w:t>
      </w:r>
      <w:r>
        <w:t xml:space="preserve"> och</w:t>
      </w:r>
      <w:r>
        <w:rPr>
          <w:i/>
        </w:rPr>
        <w:t xml:space="preserve"> 9130 Näringsrik bokskog </w:t>
      </w:r>
      <w:r>
        <w:t>(Nitare &amp; Skogsstyrelsen, 2019; SLU Artdatabanken, 2025).</w:t>
      </w:r>
    </w:p>
    <w:p>
      <w:r>
        <w:rPr>
          <w:b/>
        </w:rPr>
        <w:t xml:space="preserve">Platt fjädermossa </w:t>
      </w:r>
      <w:r>
        <w:t>växer på såväl trädstammar (särskilt bok och andra ädla lövträd) som klippor (helst basiska bergarter). Norrut förekommer den endast på basiska klippor. Rika förekomster och fynd med sporkapslar indikerar höga naturvärden och en artrik mossbiotop.</w:t>
      </w:r>
      <w:r>
        <w:rPr>
          <w:b/>
        </w:rPr>
        <w:t xml:space="preserve"> </w:t>
      </w:r>
      <w:r>
        <w:t xml:space="preserve">Platt fjädermossa är typisk art för </w:t>
      </w:r>
      <w:r>
        <w:rPr>
          <w:i/>
        </w:rPr>
        <w:t>9010 Taiga,</w:t>
      </w:r>
      <w:r>
        <w:t xml:space="preserve"> </w:t>
      </w:r>
      <w:r>
        <w:rPr>
          <w:i/>
        </w:rPr>
        <w:t>9020 Nordlig ädellövskog, 9110 Näringsfattig bokskog, 9130 Näringsrik bokskog, 9160 Näringsrik ekskog, 9180 Ädellövskog i branter</w:t>
      </w:r>
      <w:r>
        <w:t xml:space="preserve"> och</w:t>
      </w:r>
      <w:r>
        <w:rPr>
          <w:i/>
        </w:rPr>
        <w:t xml:space="preserve"> 9190 Näringsfattig ekskog </w:t>
      </w:r>
      <w:r>
        <w:t>(Nitare &amp; Skogsstyrelsen, 2019; SLU Artdatabanken, 2025).</w:t>
      </w:r>
    </w:p>
    <w:p>
      <w:r>
        <w:rPr>
          <w:b/>
        </w:rPr>
        <w:t xml:space="preserve">Purpurmylia </w:t>
      </w:r>
      <w:r>
        <w:t>indikerar mycket hög och jämn fuktighet, både i substratet och i luften, samt kalkfattiga och fukthållande underlag. Förekomster i skog signalerar höga naturvärden. Arten kräver i låglandet äldre skog med riklig tillgång på grova lågor som fått ligga länge i skugga och i kontakt med fuktig mark (Nitare &amp; Skogsstyrelsen, 2019).</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samrådsanmälda skogen: garnlav (VU, T), knärot (VU, T, §8), kattfotslav (NT, T), skuggblåslav (NT, T), guldlockmossa (S, T), gulnål (S, T) och platt fjädermossa (S, T).</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3" name="Picture 3"/>
            <wp:cNvGraphicFramePr>
              <a:graphicFrameLocks noChangeAspect="1"/>
            </wp:cNvGraphicFramePr>
            <a:graphic>
              <a:graphicData uri="http://schemas.openxmlformats.org/drawingml/2006/picture">
                <pic:pic>
                  <pic:nvPicPr>
                    <pic:cNvPr id="0" name="uppföljning av västlig taiga.jpeg"/>
                    <pic:cNvPicPr/>
                  </pic:nvPicPr>
                  <pic:blipFill>
                    <a:blip r:embed="rId18"/>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 Id="rId18" Type="http://schemas.openxmlformats.org/officeDocument/2006/relationships/image" Target="media/image3.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