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33677-2026 i Borlänge kommun</w:t>
      </w:r>
    </w:p>
    <w:p>
      <w:r>
        <w:t>Detta klagomål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23 meter från avverkningsanmälan finns fynd av 11 naturvårdsarter, varav 4 är rödlistade, 4 är fridlysta, 7 är typiska (T) och 3 är signalarter (S): knärot (VU, T, §8), barrviolspindling (NT), bivråk (NT, §4), tretåig hackspett (NT, T, §4), bronshjon (S, T), thomsons trägnagare (S), vågbandad barkbock (S), blå praktbagge (T),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 praktbagge</w:t>
      </w:r>
      <w:r>
        <w:t xml:space="preserve"> är en skalbagge vars larvutveckling sker i ganska tunn bark på döende eller nyligen döda, både stående och liggande, gärna brandskadade barrträd. Främst på tall, mer sällan på gran. Arten är mycket störningsgynnad och söker sig gärna till solvärmda vindfällen och brandfält, men även till svårt torkstressad tallskog. Blå praktbagge är typisk art för </w:t>
      </w:r>
      <w:r>
        <w:rPr>
          <w:i/>
        </w:rPr>
        <w:t>9060 Åsbarrskog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