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33677-2026 i Borlänge kommun</w:t>
      </w:r>
    </w:p>
    <w:p>
      <w:r>
        <w:t>Denna tillsynsbegäran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23 meter från avverkningsanmälan finns fynd av 11 naturvårdsarter, varav 4 är rödlistade, 4 är fridlysta, 7 är typiska (T) och 3 är signalarter (S): knärot (VU, T, §8), barrviolspindling (NT), bivråk (NT, §4), tretåig hackspett (NT, T, §4), bronshjon (S, T), thomsons trägnagare (S), vågbandad barkbock (S), blå praktbagge (T),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 praktbagge</w:t>
      </w:r>
      <w:r>
        <w:t xml:space="preserve"> är en skalbagge vars larvutveckling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 Blå praktbagge är typisk art för </w:t>
      </w:r>
      <w:r>
        <w:rPr>
          <w:i/>
        </w:rPr>
        <w:t>9060 Åsbarrskog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blå praktbagge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