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283-2026 i Borlänge kommun</w:t>
      </w:r>
    </w:p>
    <w:p>
      <w:r>
        <w:t>Detta klagomål behandlar höga naturvärden i samrådsanmälan S 283-2026 i Borlänge kommun som inkom 2026-02-03 och omfattar 7,1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S 283-2026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6696106, E 512052 i SWEREF 99 TM.</w:t>
      </w:r>
    </w:p>
    <w:p>
      <w:r>
        <w:t>I samrådsanmälan finns fynd av 10 naturvårdsarter, varav 8 är rödlistade, 1 är fridlyst, 7 är typiska (T) och 2 är signalarter (S): blåtryffel (VU), citronporing (VU), gul taggsvamp (VU, T), brunlångöra (NT, §4a), dofttaggsvamp (NT, T), skuggblåslav (NT, T), ullticka (NT, T), vedtrappmossa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