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59665-2022 i Borlänge kommun</w:t>
      </w:r>
    </w:p>
    <w:p>
      <w:r>
        <w:t>Detta klagomål behandlar höga naturvärden i avverkningsanmälan A 59665-2022 i Borlänge kommun som inkom 2022-12-13 och omfattar 16,1 ha.</w:t>
      </w:r>
    </w:p>
    <w:p>
      <w:pPr>
        <w:pStyle w:val="Caption"/>
      </w:pPr>
      <w:r>
        <w:drawing>
          <wp:inline xmlns:a="http://schemas.openxmlformats.org/drawingml/2006/main" xmlns:pic="http://schemas.openxmlformats.org/drawingml/2006/picture">
            <wp:extent cx="5486400" cy="5069735"/>
            <wp:docPr id="1" name="Picture 1"/>
            <wp:cNvGraphicFramePr>
              <a:graphicFrameLocks noChangeAspect="1"/>
            </wp:cNvGraphicFramePr>
            <a:graphic>
              <a:graphicData uri="http://schemas.openxmlformats.org/drawingml/2006/picture">
                <pic:pic>
                  <pic:nvPicPr>
                    <pic:cNvPr id="0" name="A 59665-2022 karta.png"/>
                    <pic:cNvPicPr/>
                  </pic:nvPicPr>
                  <pic:blipFill>
                    <a:blip r:embed="rId16"/>
                    <a:stretch>
                      <a:fillRect/>
                    </a:stretch>
                  </pic:blipFill>
                  <pic:spPr>
                    <a:xfrm>
                      <a:off x="0" y="0"/>
                      <a:ext cx="5486400" cy="506973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6692565, E 507072 i SWEREF 99 TM.</w:t>
      </w:r>
    </w:p>
    <w:p>
      <w:r>
        <w:t>I och inom 25 meter från avverkningsanmälan finns fynd av 11 naturvårdsarter, varav 8 är rödlistade, 3 är fridlysta, 8 är typiska (T) och 1 är signalart (S): garnlav (VU, T), knärot (VU, T, §8), dropptaggsvamp (NT, T), gammelgransskål (NT, T), halmgul örnlav (NT), mörk kolflarnlav (NT), vedskivlav (NT, T), vedtrappmossa (NT, T), barkkornlav (S, T),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4943416"/>
            <wp:docPr id="2" name="Picture 2"/>
            <wp:cNvGraphicFramePr>
              <a:graphicFrameLocks noChangeAspect="1"/>
            </wp:cNvGraphicFramePr>
            <a:graphic>
              <a:graphicData uri="http://schemas.openxmlformats.org/drawingml/2006/picture">
                <pic:pic>
                  <pic:nvPicPr>
                    <pic:cNvPr id="0" name="A 59665-2022 karta knärot.png"/>
                    <pic:cNvPicPr/>
                  </pic:nvPicPr>
                  <pic:blipFill>
                    <a:blip r:embed="rId17"/>
                    <a:stretch>
                      <a:fillRect/>
                    </a:stretch>
                  </pic:blipFill>
                  <pic:spPr>
                    <a:xfrm>
                      <a:off x="0" y="0"/>
                      <a:ext cx="5486400" cy="49434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6692565, E 507072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Halmgul örnlav (NT)</w:t>
      </w:r>
      <w:r>
        <w:t xml:space="preserve"> växer på bark och ved av gran och tall, oftast på riktigt gamla träd i gles boreal kontinuitetsskog eller myrkanter. Avverkning av boreal kontinuitetsskog är ett hot och skogsbruksåtgärder på eller i närheten av växtplatserna bör undvikas. Naturskogsartade skogar med förekomst av arten indikerar höga biologiska värden och bör bevaras. Särskilt angeläget är detta i naturskogsartade barrskogar. Minskningstakten för den svenska populationen bedöms vara nära gränsvärdet för Sårbar (VU)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