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283-2026 i Borlänge kommun</w:t>
      </w:r>
    </w:p>
    <w:p>
      <w:r>
        <w:t>Detta klagomål behandlar höga naturvärden i samrådsanmälan S 283-2026 i Borlänge kommun som inkom 2026-02-03 och omfattar 7,1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S 283-2026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6696106, E 512052 i SWEREF 99 TM.</w:t>
      </w:r>
    </w:p>
    <w:p>
      <w:r>
        <w:t>I samrådsanmälan finns fynd av 10 naturvårdsarter, varav 8 är rödlistade, 1 är fridlyst, 7 är typiska (T) och 2 är signalarter (S): blåtryffel (VU), citronporing (VU), gul taggsvamp (VU, T), brunlångöra (NT, §4a), dofttaggsvamp (NT, T), skuggblåslav (NT, T), ullticka (NT, T), vedtrappmossa (NT, T), strutbräken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Blåtryffel (VU)</w:t>
      </w:r>
      <w:r>
        <w:t>, som omfattas av ett åtgärdsprogram för hotade arter (ÅGP), bildar mykorrhiza med gran och påträffas i mossig gammal granskog med hög bonitet och permanent fuktig mark betingat av ett ytligt, rörligt markvatten, t.ex. vid källor och fuktdråg. Den är troligen något kalkgynnad och ofta finns det örtrika ljusluckor i skogen.</w:t>
      </w:r>
      <w:r>
        <w:rPr>
          <w:b/>
        </w:rPr>
        <w:t xml:space="preserve"> </w:t>
      </w:r>
      <w:r>
        <w:t>Blåtryffel har ett mycket högt signalvärde på skyddsvärda granbestånd och är en mycket bra indikator på några av barrskogslandskapets främsta naturvårdsobjekt. Svampen är extremt känslig för uttorkning och den tål ingen avverkning som kan förändra fuktighetsklimatet (SLU Artdatabanken, 2024; Nitare &amp; Skogsstyrelsen, 2019; Naturvårdsverket, 2005).</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