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60150-2023 i Borlänge kommun</w:t>
      </w:r>
    </w:p>
    <w:p>
      <w:r>
        <w:t>Denna tillsynsbegäran behandlar höga naturvärden i avverkningsanmälan A 60150-2023 i Borlänge kommun som inkom 2023-11-28 och omfattar 2,7 ha.</w:t>
      </w:r>
    </w:p>
    <w:p>
      <w:pPr>
        <w:pStyle w:val="Caption"/>
      </w:pPr>
      <w:r>
        <w:drawing>
          <wp:inline xmlns:a="http://schemas.openxmlformats.org/drawingml/2006/main" xmlns:pic="http://schemas.openxmlformats.org/drawingml/2006/picture">
            <wp:extent cx="4600837" cy="5724000"/>
            <wp:docPr id="1" name="Picture 1"/>
            <wp:cNvGraphicFramePr>
              <a:graphicFrameLocks noChangeAspect="1"/>
            </wp:cNvGraphicFramePr>
            <a:graphic>
              <a:graphicData uri="http://schemas.openxmlformats.org/drawingml/2006/picture">
                <pic:pic>
                  <pic:nvPicPr>
                    <pic:cNvPr id="0" name="A 60150-2023 karta.png"/>
                    <pic:cNvPicPr/>
                  </pic:nvPicPr>
                  <pic:blipFill>
                    <a:blip r:embed="rId16"/>
                    <a:stretch>
                      <a:fillRect/>
                    </a:stretch>
                  </pic:blipFill>
                  <pic:spPr>
                    <a:xfrm>
                      <a:off x="0" y="0"/>
                      <a:ext cx="4600837"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6693493, E 514618 i SWEREF 99 TM.</w:t>
      </w:r>
    </w:p>
    <w:p>
      <w:r>
        <w:t>I och inom 2 meter från avverkningsanmälan finns fynd av 2 naturvårdsarter, varav 1 är fridlyst, 1 är typisk (T) och 1 är signalart (S): trådticka (S,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