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17081-2026 i Borlänge kommun</w:t>
      </w:r>
    </w:p>
    <w:p>
      <w:r>
        <w:t>Denna tillsynsbegäran behandlar höga naturvärden i avverkningsanmälan A 17081-2026 i Borlänge kommun som inkom 2026-04-02 och omfattar 14,0 ha.</w:t>
      </w:r>
    </w:p>
    <w:p>
      <w:pPr>
        <w:pStyle w:val="Caption"/>
      </w:pPr>
      <w:r>
        <w:drawing>
          <wp:inline xmlns:a="http://schemas.openxmlformats.org/drawingml/2006/main" xmlns:pic="http://schemas.openxmlformats.org/drawingml/2006/picture">
            <wp:extent cx="5486400" cy="3265445"/>
            <wp:docPr id="1" name="Picture 1"/>
            <wp:cNvGraphicFramePr>
              <a:graphicFrameLocks noChangeAspect="1"/>
            </wp:cNvGraphicFramePr>
            <a:graphic>
              <a:graphicData uri="http://schemas.openxmlformats.org/drawingml/2006/picture">
                <pic:pic>
                  <pic:nvPicPr>
                    <pic:cNvPr id="0" name="A 17081-2026 karta.png"/>
                    <pic:cNvPicPr/>
                  </pic:nvPicPr>
                  <pic:blipFill>
                    <a:blip r:embed="rId16"/>
                    <a:stretch>
                      <a:fillRect/>
                    </a:stretch>
                  </pic:blipFill>
                  <pic:spPr>
                    <a:xfrm>
                      <a:off x="0" y="0"/>
                      <a:ext cx="5486400" cy="326544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6714491, E 520896 i SWEREF 99 TM.</w:t>
      </w:r>
    </w:p>
    <w:p>
      <w:r>
        <w:t>I och inom 25 meter från avverkningsanmälan finns fynd av 10 naturvårdsarter, varav 3 är rödlistade, 3 är fridlysta, 6 är typiska (T) och 5 är signalarter (S): dropptaggsvamp (NT, T), talltita (NT, §4), violettgrå tagellav (NT, T), dolkstekelsglasvinge (S), grovticka (S, T), mindre märgborre (S, T), vanlig flatbagge (S, T), vågbandad barkbock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violettgrå tagellav (NT, T), grovticka (S, T), mindre märgborre (S, T), vanlig flatbagge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