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53145-2023 i Borlänge kommun</w:t>
      </w:r>
    </w:p>
    <w:p>
      <w:r>
        <w:t>Denna tillsynsbegäran behandlar höga naturvärden i avverkningsanmälan A 53145-2023 i Borlänge kommun som inkom 2023-10-30 och omfattar 3,5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53145-2023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6708124, E 525868 i SWEREF 99 TM.</w:t>
      </w:r>
    </w:p>
    <w:p>
      <w:r>
        <w:t>I och inom 15 meter från avverkningsanmälan finns fynd av 37 naturvårdsarter, varav 19 är rödlistade, 37 är fridlysta och 8 är typiska (T): sommargylling (EN, §4), blå kärrhök (VU, §4), grönfink (VU, §4), stare (VU, §4), tornseglare (VU, §4), björktrast (NT, §4), duvhök (NT, §4), enkelbeckasin (NT, §4), grönsångare (NT, §4), göktyta (NT, §4), järnsparv (NT, §4), ladusvala (NT, §4), mindre hackspett (NT, T, §4), nötkråka (NT, T, §4), rödvingetrast (NT, §4), sparvuggla (NT, §4), sädesärla (NT, §4), talltita (NT, §4), turkduva (NT, §4), gråspett (T, §4), järpe (T, §4), mindre flugsnappare (T, §4), spillkråka (T, §4), tallbit (T, §4), tjäder (T, §4), buskskvätta (§4), gröngöling (§4), grönsiska (§4), havsörn (§4), kråka (§4), kungsfågel (§4), röd glada (§4), skogsduva (§4), svartvit flugsnappare (§4), sångsvan (§4), trana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nötkråka (NT, T, §4), gråspett (T, §4), järpe (T, §4), mindre flugsnappare (T, §4), spillkråka (T, §4),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