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722-2026 i Borlänge kommun</w:t>
      </w:r>
    </w:p>
    <w:p>
      <w:r>
        <w:t>Denna tillsynsbegäran behandlar höga naturvärden i samrådsanmälan S 722-2026 i Borlänge kommun som inkom 2026-03-12 och omfattar 1,2 ha.</w:t>
      </w:r>
    </w:p>
    <w:p>
      <w:pPr>
        <w:pStyle w:val="Caption"/>
      </w:pPr>
      <w:r>
        <w:drawing>
          <wp:inline xmlns:a="http://schemas.openxmlformats.org/drawingml/2006/main" xmlns:pic="http://schemas.openxmlformats.org/drawingml/2006/picture">
            <wp:extent cx="5486400" cy="4638415"/>
            <wp:docPr id="1" name="Picture 1"/>
            <wp:cNvGraphicFramePr>
              <a:graphicFrameLocks noChangeAspect="1"/>
            </wp:cNvGraphicFramePr>
            <a:graphic>
              <a:graphicData uri="http://schemas.openxmlformats.org/drawingml/2006/picture">
                <pic:pic>
                  <pic:nvPicPr>
                    <pic:cNvPr id="0" name="S 722-2026 karta.png"/>
                    <pic:cNvPicPr/>
                  </pic:nvPicPr>
                  <pic:blipFill>
                    <a:blip r:embed="rId16"/>
                    <a:stretch>
                      <a:fillRect/>
                    </a:stretch>
                  </pic:blipFill>
                  <pic:spPr>
                    <a:xfrm>
                      <a:off x="0" y="0"/>
                      <a:ext cx="5486400" cy="4638415"/>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6702009, E 515932 i SWEREF 99 TM.</w:t>
      </w:r>
    </w:p>
    <w:p>
      <w:r>
        <w:t>I och inom 22 meter från samrådsanmälan finns fynd av 10 naturvårdsarter, varav 4 är rödlistade, 4 är fridlysta, 6 är typiska (T) och 3 är signalarter (S): knärot (VU, T, §8), barrviolspindling (NT), bivråk (NT, §4), tretåig hackspett (NT, T, §4), bronshjon (S, T), thomsons trägnagare (S), vågbandad barkbock (S), blåsippa (T, §9), hultbräken (T)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3 fyndplatser för knärot registrerade på Artportalen. Figur 2 visar gränserna för buffertzoner på 50 m, som behöver lämnas kring fyndplatserna för att knärotslokalerna inte ska försvinna vid en avverkning. Av det samrådsanmälda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948370"/>
            <wp:docPr id="2" name="Picture 2"/>
            <wp:cNvGraphicFramePr>
              <a:graphicFrameLocks noChangeAspect="1"/>
            </wp:cNvGraphicFramePr>
            <a:graphic>
              <a:graphicData uri="http://schemas.openxmlformats.org/drawingml/2006/picture">
                <pic:pic>
                  <pic:nvPicPr>
                    <pic:cNvPr id="0" name="S 722-2026 karta knärot.png"/>
                    <pic:cNvPicPr/>
                  </pic:nvPicPr>
                  <pic:blipFill>
                    <a:blip r:embed="rId17"/>
                    <a:stretch>
                      <a:fillRect/>
                    </a:stretch>
                  </pic:blipFill>
                  <pic:spPr>
                    <a:xfrm>
                      <a:off x="0" y="0"/>
                      <a:ext cx="5486400" cy="594837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6702009, E 515932 i SWEREF 99 TM.</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tretåig hackspett (NT, T, §4), bronshjon (S, T), blåsippa (T, §9), hultbräken (T) och kransmossa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