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59728-2021 i Borlänge kommun</w:t>
      </w:r>
    </w:p>
    <w:p>
      <w:r>
        <w:t>Denna tillsynsbegäran behandlar höga naturvärden i avverkningsanmälan A 59728-2021 i Borlänge kommun som inkom 2021-10-25 och omfattar 6,7 ha.</w:t>
      </w:r>
    </w:p>
    <w:p>
      <w:pPr>
        <w:pStyle w:val="Caption"/>
      </w:pPr>
      <w:r>
        <w:drawing>
          <wp:inline xmlns:a="http://schemas.openxmlformats.org/drawingml/2006/main" xmlns:pic="http://schemas.openxmlformats.org/drawingml/2006/picture">
            <wp:extent cx="5340442" cy="5724000"/>
            <wp:docPr id="1" name="Picture 1"/>
            <wp:cNvGraphicFramePr>
              <a:graphicFrameLocks noChangeAspect="1"/>
            </wp:cNvGraphicFramePr>
            <a:graphic>
              <a:graphicData uri="http://schemas.openxmlformats.org/drawingml/2006/picture">
                <pic:pic>
                  <pic:nvPicPr>
                    <pic:cNvPr id="0" name="A 59728-2021 karta.png"/>
                    <pic:cNvPicPr/>
                  </pic:nvPicPr>
                  <pic:blipFill>
                    <a:blip r:embed="rId16"/>
                    <a:stretch>
                      <a:fillRect/>
                    </a:stretch>
                  </pic:blipFill>
                  <pic:spPr>
                    <a:xfrm>
                      <a:off x="0" y="0"/>
                      <a:ext cx="534044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6706004, E 520920 i SWEREF 99 TM.</w:t>
      </w:r>
    </w:p>
    <w:p>
      <w:r>
        <w:t>I och inom 20 meter från avverkningsanmälan finns fynd av 12 naturvårdsarter, varav 7 är rödlistade, 3 är fridlysta, 6 är typiska (T) och 3 är signalarter (S): skogsalm (EN), citronporing (VU), knärot (VU, T, §8), fjällig taggsvamp s.str. (NT), gransotdyna (NT), ullticka (NT, T), vedtrappmossa (NT, T), bronshjon (S, T), mörk husmossa (S, T), rödgul trumpetsvamp (S), blåsippa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3.23 ha med buffertzonerna och får av detta skäl inte avverkas.</w:t>
      </w:r>
    </w:p>
    <w:p>
      <w:pPr>
        <w:pStyle w:val="Caption"/>
      </w:pPr>
      <w:r>
        <w:drawing>
          <wp:inline xmlns:a="http://schemas.openxmlformats.org/drawingml/2006/main" xmlns:pic="http://schemas.openxmlformats.org/drawingml/2006/picture">
            <wp:extent cx="5486400" cy="5642885"/>
            <wp:docPr id="2" name="Picture 2"/>
            <wp:cNvGraphicFramePr>
              <a:graphicFrameLocks noChangeAspect="1"/>
            </wp:cNvGraphicFramePr>
            <a:graphic>
              <a:graphicData uri="http://schemas.openxmlformats.org/drawingml/2006/picture">
                <pic:pic>
                  <pic:nvPicPr>
                    <pic:cNvPr id="0" name="A 59728-2021 karta knärot.png"/>
                    <pic:cNvPicPr/>
                  </pic:nvPicPr>
                  <pic:blipFill>
                    <a:blip r:embed="rId17"/>
                    <a:stretch>
                      <a:fillRect/>
                    </a:stretch>
                  </pic:blipFill>
                  <pic:spPr>
                    <a:xfrm>
                      <a:off x="0" y="0"/>
                      <a:ext cx="5486400" cy="56428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6706004, E 520920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vedtrappmossa (NT, T), bronshjon (S, T), mörk husmossa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