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2495-2025 i Borlänge kommun</w:t>
      </w:r>
    </w:p>
    <w:p>
      <w:r>
        <w:t>Denna tillsynsbegäran behandlar höga naturvärden i samrådsanmälan S 2495-2025 i Borlänge kommun som inkom 2025-09-02 och omfattar 40,4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S 2495-2025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6716954, E 516261 i SWEREF 99 TM.</w:t>
      </w:r>
    </w:p>
    <w:p>
      <w:r>
        <w:t>I och inom 21 meter från samrådsanmälan finns fynd av 9 naturvårdsarter, varav 6 är rödlistade, 6 är fridlysta och 5 är typiska (T): knärot (VU, T, §8), dofttaggsvamp (NT, T), motaggsvamp (NT, T), svartvit taggsvamp (NT), talltita (NT, §4), tretåig hackspett (NT, T, §4), järpe (T, §4), orre (§4)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 fyndplatser för knärot registrerade på Artportalen. Figur 2 visar gränserna för buffertzoner på 50 m, som behöver lämnas kring fyndplatserna för att knärotslokalerna inte ska försvinna vid en avverkning. Av det samrådsanmälda området överlappar 3.15 ha med buffertzonerna och får av detta skäl inte avverkas.</w:t>
      </w:r>
    </w:p>
    <w:p>
      <w:pPr>
        <w:pStyle w:val="Caption"/>
      </w:pPr>
      <w:r>
        <w:drawing>
          <wp:inline xmlns:a="http://schemas.openxmlformats.org/drawingml/2006/main" xmlns:pic="http://schemas.openxmlformats.org/drawingml/2006/picture">
            <wp:extent cx="5486400" cy="7516678"/>
            <wp:docPr id="2" name="Picture 2"/>
            <wp:cNvGraphicFramePr>
              <a:graphicFrameLocks noChangeAspect="1"/>
            </wp:cNvGraphicFramePr>
            <a:graphic>
              <a:graphicData uri="http://schemas.openxmlformats.org/drawingml/2006/picture">
                <pic:pic>
                  <pic:nvPicPr>
                    <pic:cNvPr id="0" name="S 2495-2025 karta knärot.png"/>
                    <pic:cNvPicPr/>
                  </pic:nvPicPr>
                  <pic:blipFill>
                    <a:blip r:embed="rId17"/>
                    <a:stretch>
                      <a:fillRect/>
                    </a:stretch>
                  </pic:blipFill>
                  <pic:spPr>
                    <a:xfrm>
                      <a:off x="0" y="0"/>
                      <a:ext cx="5486400" cy="75166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6716954, E 516261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dofttaggsvamp (NT, T), motaggsvamp (NT, T), tretåig hackspett (NT, T, §4)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