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dokument behandlar höga naturvärden i avverkningsanmälan A 5108-2023 i Borlänge kommun. Denna avverkningsanmälan inkom 2023-02-01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78 fyndplatser för knärot registrerade på Artportalen. Figur 2 visar gränserna för buffertzoner på 50 m, som behöver lämnas kring fyndplatserna för att knärotslokalerna inte ska försvinna vid en avverkning. Av det avverkningsanmälda området överlappar 10.87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