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50972-2024 i Borlänge kommun</w:t>
      </w:r>
    </w:p>
    <w:p>
      <w:r>
        <w:t>Detta dokument behandlar höga naturvärden i avverkningsanmälan A 50972-2024 i Borlänge kommun. Denna avverkningsanmälan inkom 2024-11-07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78067"/>
            <wp:docPr id="1" name="Picture 1"/>
            <wp:cNvGraphicFramePr>
              <a:graphicFrameLocks noChangeAspect="1"/>
            </wp:cNvGraphicFramePr>
            <a:graphic>
              <a:graphicData uri="http://schemas.openxmlformats.org/drawingml/2006/picture">
                <pic:pic>
                  <pic:nvPicPr>
                    <pic:cNvPr id="0" name="A 50972-2024 karta.png"/>
                    <pic:cNvPicPr/>
                  </pic:nvPicPr>
                  <pic:blipFill>
                    <a:blip r:embed="rId16"/>
                    <a:stretch>
                      <a:fillRect/>
                    </a:stretch>
                  </pic:blipFill>
                  <pic:spPr>
                    <a:xfrm>
                      <a:off x="0" y="0"/>
                      <a:ext cx="5486400" cy="2878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6691844, E 513883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