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29266-2023 i Borlänge kommun</w:t>
      </w:r>
    </w:p>
    <w:p>
      <w:r>
        <w:t>Denna tillsynsbegäran behandlar höga naturvärden i avverkningsanmälan A 29266-2023 i Borlänge kommun som inkom 2023-06-28 och omfattar 3,1 ha.</w:t>
      </w:r>
    </w:p>
    <w:p>
      <w:pPr>
        <w:pStyle w:val="Caption"/>
      </w:pPr>
      <w:r>
        <w:drawing>
          <wp:inline xmlns:a="http://schemas.openxmlformats.org/drawingml/2006/main" xmlns:pic="http://schemas.openxmlformats.org/drawingml/2006/picture">
            <wp:extent cx="5486400" cy="4953591"/>
            <wp:docPr id="1" name="Picture 1"/>
            <wp:cNvGraphicFramePr>
              <a:graphicFrameLocks noChangeAspect="1"/>
            </wp:cNvGraphicFramePr>
            <a:graphic>
              <a:graphicData uri="http://schemas.openxmlformats.org/drawingml/2006/picture">
                <pic:pic>
                  <pic:nvPicPr>
                    <pic:cNvPr id="0" name="A 29266-2023 karta.png"/>
                    <pic:cNvPicPr/>
                  </pic:nvPicPr>
                  <pic:blipFill>
                    <a:blip r:embed="rId16"/>
                    <a:stretch>
                      <a:fillRect/>
                    </a:stretch>
                  </pic:blipFill>
                  <pic:spPr>
                    <a:xfrm>
                      <a:off x="0" y="0"/>
                      <a:ext cx="5486400" cy="495359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6719065, E 518379 i SWEREF 99 TM.</w:t>
      </w:r>
    </w:p>
    <w:p>
      <w:r>
        <w:t>I avverkningsanmälan finns fynd av 15 naturvårdsarter, varav 10 är rödlistade, 3 är fridlysta, 9 är typiska (T) och 4 är signalarter (S): bitter taggsvamp (EN), knärot (VU, T, §8), dropptaggsvamp (NT, T), kryddspindling (NT, T), kötticka (NT), rosenticka (NT, T), rynkskinn (NT, T), tallfingersvamp (NT), talltita (NT, §4), ullticka (NT, T), blomkålssvamp (S), bronshjon (S, T), grönpyrola (S, T), thomsons trägnagare (S)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Bitter taggsvamp (EN) </w:t>
      </w:r>
      <w:r>
        <w:t>är en sällsynt och starkt hotad ”toppart” som bildar mykorrhiza med gran, möjligen även med tall, i äldre barrskogar med lång kontinuitet. Förekommer på kalkrik eller annan basiskt påverkad mark, främst i miljöer med hög luftfuktighet. Svampen har i friskt tillstånd en säregen doft av bittermandelolja och fruktköttet är mycket bittert i smaken. Arten hotas främst av avverkning och tål inte en slutavverkning utan kräver ett kontinuerligt äldre trädskikt med gran. Äldre barrskogar med basisk påverkan och lång kontinuitet, även små områden, har ett mycket högt skyddsvärde och bör i största möjliga utsträckning undantas från trakthyggesbruk. Slutavverkning, kraftig gallring och skogsmarksgödsling måste helt undvikas, liksom körning med tunga maskiner. Lokalerna bör skyddas formellt. Bitter taggsvamp ingår i ett åtgärdsprogram för hotade arter (ÅGP) och är placerad högst upp i Skogsstyrelsens värdepyramid för bedömning av skog med höga naturvärden (SLU Artdatabanken, 2026; Nitare &amp; Skogsstyrelsen, 2019; Nitare 2006).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19 fyndplatser för knärot registrerade på Artportalen. Figur 2 visar gränserna för buffertzoner på 50 m, som behöver lämnas kring fyndplatserna för att knärotslokalerna inte ska försvinna vid en avverkning. Av det avverkningsanmälda området överlappar 2.13 ha med buffertzonerna och får av detta skäl inte avverkas.</w:t>
      </w:r>
    </w:p>
    <w:p>
      <w:pPr>
        <w:pStyle w:val="Caption"/>
      </w:pPr>
      <w:r>
        <w:drawing>
          <wp:inline xmlns:a="http://schemas.openxmlformats.org/drawingml/2006/main" xmlns:pic="http://schemas.openxmlformats.org/drawingml/2006/picture">
            <wp:extent cx="5486400" cy="6327952"/>
            <wp:docPr id="2" name="Picture 2"/>
            <wp:cNvGraphicFramePr>
              <a:graphicFrameLocks noChangeAspect="1"/>
            </wp:cNvGraphicFramePr>
            <a:graphic>
              <a:graphicData uri="http://schemas.openxmlformats.org/drawingml/2006/picture">
                <pic:pic>
                  <pic:nvPicPr>
                    <pic:cNvPr id="0" name="A 29266-2023 karta knärot.png"/>
                    <pic:cNvPicPr/>
                  </pic:nvPicPr>
                  <pic:blipFill>
                    <a:blip r:embed="rId17"/>
                    <a:stretch>
                      <a:fillRect/>
                    </a:stretch>
                  </pic:blipFill>
                  <pic:spPr>
                    <a:xfrm>
                      <a:off x="0" y="0"/>
                      <a:ext cx="5486400" cy="632795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6719065, E 518379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Kryddspindling (NT)</w:t>
      </w:r>
      <w:r>
        <w:t xml:space="preserve"> signalerar örtrika granskogar som normalt har höga naturvärden. Oftast växer den i äldre granskog på kalkrikt underlag och svampen är en mycket användbar signalart för denna miljö. Den utgör en viktig karaktärsart för all äldre kalkbarrskog med lång trädkontinuitet av gran. På lokalerna förekommer nästan alltid många ovanliga och rödlistade arter. Den totala populationen i landet har minskat och bedöms fortsätta minska till följd av avverkning av äldre barrskogar. Kryddspindling är typisk art för </w:t>
      </w:r>
      <w:r>
        <w:rPr>
          <w:i/>
        </w:rPr>
        <w:t xml:space="preserve">9050 Näringsrik granskog </w:t>
      </w:r>
      <w:r>
        <w:t>(Nitare &amp; Skogsstyrelsen, 2000; SLU Artdatabanken, 2026).</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 xml:space="preserve">Tallfingersvamp (NT) </w:t>
      </w:r>
      <w:r>
        <w:t>bildar mykorrhiza med tall och gran i äldre barrskog, framför allt sandtallskog men även i annan näringsfattig barrskog, huvudsakligen i äldre kontinuitetsskog. Den totala populationen i landet har minskat och bedöms fortsätta minska till följd av avverkning av barrskogar med trädkontinuitet. Minskningstakten för den svenska populationen bedöms vara nära gränsvärdet för Sårbar (VU). Slutavverkning, gödsling eller exploatering måste undvikas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dropptaggsvamp (NT, T), kryddspindling (NT, T), rosenticka (NT, T), rynkskinn (NT, T), ullticka (NT, T), bronshjon (S, T), grönpyrola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