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400-2024 i Borlänge kommun</w:t>
      </w:r>
    </w:p>
    <w:p>
      <w:r>
        <w:t>Denna tillsynsbegäran behandlar höga naturvärden i samrådsanmälan S 400-2024 i Borlänge kommun som inkom 2024-02-13 och omfattar 1,9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S 400-2024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6717749, E 516992 i SWEREF 99 TM.</w:t>
      </w:r>
    </w:p>
    <w:p>
      <w:r>
        <w:t>I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4530522"/>
            <wp:docPr id="2" name="Picture 2"/>
            <wp:cNvGraphicFramePr>
              <a:graphicFrameLocks noChangeAspect="1"/>
            </wp:cNvGraphicFramePr>
            <a:graphic>
              <a:graphicData uri="http://schemas.openxmlformats.org/drawingml/2006/picture">
                <pic:pic>
                  <pic:nvPicPr>
                    <pic:cNvPr id="0" name="S 400-2024 karta knärot.png"/>
                    <pic:cNvPicPr/>
                  </pic:nvPicPr>
                  <pic:blipFill>
                    <a:blip r:embed="rId17"/>
                    <a:stretch>
                      <a:fillRect/>
                    </a:stretch>
                  </pic:blipFill>
                  <pic:spPr>
                    <a:xfrm>
                      <a:off x="0" y="0"/>
                      <a:ext cx="5486400" cy="453052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6717749, E 516992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