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29266-2023 i Borlänge kommun</w:t>
      </w:r>
    </w:p>
    <w:p>
      <w:r>
        <w:t>Detta dokument behandlar höga naturvärden i avverkningsanmälan A 29266-2023 i Borlänge kommun. Denna avverkningsanmälan inkom 2023-06-28 00:00:00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bitter taggsvamp (VU), knärot (VU, §8), spillkråka (NT, §4), svart taggsvamp (NT), talltita (NT, §4), ullticka (NT), blomkålssvamp (S), bronshjon (S), dropptaggsvamp (S), grönpyrola (S), kryddspindling (S), tallfingersvamp (S) och thomsons trägnagare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3803"/>
            <wp:docPr id="1" name="Picture 1"/>
            <wp:cNvGraphicFramePr>
              <a:graphicFrameLocks noChangeAspect="1"/>
            </wp:cNvGraphicFramePr>
            <a:graphic>
              <a:graphicData uri="http://schemas.openxmlformats.org/drawingml/2006/picture">
                <pic:pic>
                  <pic:nvPicPr>
                    <pic:cNvPr id="0" name="A 29266-2023 karta.png"/>
                    <pic:cNvPicPr/>
                  </pic:nvPicPr>
                  <pic:blipFill>
                    <a:blip r:embed="rId16"/>
                    <a:stretch>
                      <a:fillRect/>
                    </a:stretch>
                  </pic:blipFill>
                  <pic:spPr>
                    <a:xfrm>
                      <a:off x="0" y="0"/>
                      <a:ext cx="5486400" cy="505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6719065, E 518379 i SWEREF 99 TM.</w:t>
      </w:r>
    </w:p>
    <w:p>
      <w:r>
        <w:rPr>
          <w:b/>
        </w:rPr>
        <w:t xml:space="preserve">Bitter taggsvamp (VU) </w:t>
      </w:r>
      <w:r>
        <w:t>är en sällsynt ”toppart” som huvudsakligen förekommer på rik mark i gamla barrskogar med långvarig kontinuitet. Svampen har i friskt tillstånd en säregen doft av bittermandelolja och fruktköttet är mycket bittert i smaken. Arten ingår i ett åtgärdsprogram för hotade arter (ÅGP) och är placerad högst upp i Skogsstyrelsens värdepyramid för bedömning av skog med höga naturvärden. Arten missgynnas av skogsbruk och eftersom den huvudsakligen växer i äldre barrskog hotas flera växtplatser av slutavverkning. Fler områden med äldre barskog på kalkrik mark bör skyddas och helt undantas från skogsbruk (SLU Artdatabanken, 2024; Nitare &amp; Skogsstyrelsen, 2019).</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19 fyndplatser för knärot registrerade på Artportalen. Figur 2 visar gränserna för buffertzoner på 50 m, som behöver lämnas kring fyndplatserna för att knärotslokalerna inte ska försvinna vid en avverkning. Av det avverkningsanmälda området överlappar 2.13 ha med buffertzonerna och får av detta skäl inte avverkas.</w:t>
      </w:r>
    </w:p>
    <w:p>
      <w:pPr>
        <w:pStyle w:val="Caption"/>
      </w:pPr>
      <w:r>
        <w:drawing>
          <wp:inline xmlns:a="http://schemas.openxmlformats.org/drawingml/2006/main" xmlns:pic="http://schemas.openxmlformats.org/drawingml/2006/picture">
            <wp:extent cx="5486400" cy="6328637"/>
            <wp:docPr id="2" name="Picture 2"/>
            <wp:cNvGraphicFramePr>
              <a:graphicFrameLocks noChangeAspect="1"/>
            </wp:cNvGraphicFramePr>
            <a:graphic>
              <a:graphicData uri="http://schemas.openxmlformats.org/drawingml/2006/picture">
                <pic:pic>
                  <pic:nvPicPr>
                    <pic:cNvPr id="0" name="A 29266-2023 karta knärot.png"/>
                    <pic:cNvPicPr/>
                  </pic:nvPicPr>
                  <pic:blipFill>
                    <a:blip r:embed="rId17"/>
                    <a:stretch>
                      <a:fillRect/>
                    </a:stretch>
                  </pic:blipFill>
                  <pic:spPr>
                    <a:xfrm>
                      <a:off x="0" y="0"/>
                      <a:ext cx="5486400" cy="632863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6719065, E 518379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