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37099-2024 i Borlänge kommun</w:t>
      </w:r>
    </w:p>
    <w:p>
      <w:r>
        <w:t>Denna tillsynsbegäran behandlar höga naturvärden i avverkningsanmälan A 37099-2024 i Borlänge kommun som inkom 2024-09-04 och omfattar 17,7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37099-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6713711, E 524051 i SWEREF 99 TM.</w:t>
      </w:r>
    </w:p>
    <w:p>
      <w:r>
        <w:t>I och inom 19 meter från avverkningsanmälan finns fynd av 17 naturvårdsarter, varav 8 är rödlistade, 9 är fridlysta, 9 är typiska (T) och 3 är signalarter (S): knärot (VU, T, §8), fjällig taggsvamp s.str. (NT), mindre hackspett (NT, T, §4), motaggsvamp (NT, T), rosenticka (NT, T), skarp dropptaggsvamp (NT), talltita (NT, §4), ullticka (NT, T), mindre märgborre (S, T), rödgul trumpetsvamp (S), svavelriska (S), blåsippa (T, §9), mindre flugsnappare (T, §4), spillkråka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85 fyndplatser för knärot registrerade på Artportalen. Figur 2 visar gränserna för buffertzoner på 50 m, som behöver lämnas kring fyndplatserna för att knärotslokalerna inte ska försvinna vid en avverkning. Av det avverkningsanmälda området överlappar 10.91 ha med buffertzonerna och får av detta skäl inte avverkas.</w:t>
      </w:r>
    </w:p>
    <w:p>
      <w:pPr>
        <w:pStyle w:val="Caption"/>
      </w:pPr>
      <w:r>
        <w:drawing>
          <wp:inline xmlns:a="http://schemas.openxmlformats.org/drawingml/2006/main" xmlns:pic="http://schemas.openxmlformats.org/drawingml/2006/picture">
            <wp:extent cx="5486400" cy="10853449"/>
            <wp:docPr id="2" name="Picture 2"/>
            <wp:cNvGraphicFramePr>
              <a:graphicFrameLocks noChangeAspect="1"/>
            </wp:cNvGraphicFramePr>
            <a:graphic>
              <a:graphicData uri="http://schemas.openxmlformats.org/drawingml/2006/picture">
                <pic:pic>
                  <pic:nvPicPr>
                    <pic:cNvPr id="0" name="A 37099-2024 karta knärot.png"/>
                    <pic:cNvPicPr/>
                  </pic:nvPicPr>
                  <pic:blipFill>
                    <a:blip r:embed="rId17"/>
                    <a:stretch>
                      <a:fillRect/>
                    </a:stretch>
                  </pic:blipFill>
                  <pic:spPr>
                    <a:xfrm>
                      <a:off x="0" y="0"/>
                      <a:ext cx="5486400" cy="10853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6713711, E 524051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motaggsvamp (NT, T), rosenticka (NT, T), ullticka (NT, T), mindre märgborre (S, T), blåsippa (T, §9), mindre flugsnappare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