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29266-2023 i Borlänge kommun</w:t>
      </w:r>
    </w:p>
    <w:p>
      <w:r>
        <w:t>Detta klagomål behandlar höga naturvärden i avverkningsanmälan A 29266-2023 i Borlänge kommun som inkom 2023-06-28 och omfattar 3,1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29266-2023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6719065, E 518379 i SWEREF 99 TM.</w:t>
      </w:r>
    </w:p>
    <w:p>
      <w:r>
        <w:t>I avverkningsanmälan finns fynd av 15 naturvårdsarter, varav 10 är rödlistade, 3 är fridlysta, 9 är typiska (T) och 4 är signalarter (S): bitter taggsvamp (EN), knärot (VU, T, §8), dropptaggsvamp (NT, T), kryddspindling (NT, T), kötticka (NT), rosenticka (NT, T), rynkskinn (NT, T), tallfingersvamp (NT), talltita (NT, §4), ullticka (NT, T), blomkålssvamp (S), bronshjon (S, T), grönpyrola (S, T), thomsons trägnagare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2.13 ha med buffertzonerna och får av detta skäl inte avverkas.</w:t>
      </w:r>
    </w:p>
    <w:p>
      <w:pPr>
        <w:pStyle w:val="Caption"/>
      </w:pPr>
      <w:r>
        <w:drawing>
          <wp:inline xmlns:a="http://schemas.openxmlformats.org/drawingml/2006/main" xmlns:pic="http://schemas.openxmlformats.org/drawingml/2006/picture">
            <wp:extent cx="5486400" cy="6327952"/>
            <wp:docPr id="2" name="Picture 2"/>
            <wp:cNvGraphicFramePr>
              <a:graphicFrameLocks noChangeAspect="1"/>
            </wp:cNvGraphicFramePr>
            <a:graphic>
              <a:graphicData uri="http://schemas.openxmlformats.org/drawingml/2006/picture">
                <pic:pic>
                  <pic:nvPicPr>
                    <pic:cNvPr id="0" name="A 29266-2023 karta knärot.png"/>
                    <pic:cNvPicPr/>
                  </pic:nvPicPr>
                  <pic:blipFill>
                    <a:blip r:embed="rId17"/>
                    <a:stretch>
                      <a:fillRect/>
                    </a:stretch>
                  </pic:blipFill>
                  <pic:spPr>
                    <a:xfrm>
                      <a:off x="0" y="0"/>
                      <a:ext cx="5486400" cy="6327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6719065, E 518379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