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2040-2023 i Borläng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