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497-2023 i Borlänge kommun</w:t>
      </w:r>
    </w:p>
    <w:p>
      <w:r>
        <w:t>Denna tillsynsbegäran behandlar höga naturvärden i samrådsanmälan S 497-2023 i Borlänge kommun som inkom 2023-02-06 och omfattar 6,3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S 497-2023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6713437, E 516150 i SWEREF 99 TM.</w:t>
      </w:r>
    </w:p>
    <w:p>
      <w:r>
        <w:t>I och inom 24 meter från samrådsanmälan finns fynd av 6 naturvårdsarter, varav 5 är rödlistade, 3 är fridlysta och 6 är typiska (T): knärot (VU, T, §8), dropptaggsvamp (NT, T), tretåig hackspett (NT, T, §4), ullticka (NT, T), vedtrappmossa (NT, 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12 fyndplatser för knärot registrerade på Artportalen. Figur 2 visar gränserna för buffertzoner på 50 m, som behöver lämnas kring fyndplatserna för att knärotslokalerna inte ska försvinna vid en avverkning. Av det samrådsanmälda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514680"/>
            <wp:docPr id="2" name="Picture 2"/>
            <wp:cNvGraphicFramePr>
              <a:graphicFrameLocks noChangeAspect="1"/>
            </wp:cNvGraphicFramePr>
            <a:graphic>
              <a:graphicData uri="http://schemas.openxmlformats.org/drawingml/2006/picture">
                <pic:pic>
                  <pic:nvPicPr>
                    <pic:cNvPr id="0" name="S 497-2023 karta knärot.png"/>
                    <pic:cNvPicPr/>
                  </pic:nvPicPr>
                  <pic:blipFill>
                    <a:blip r:embed="rId17"/>
                    <a:stretch>
                      <a:fillRect/>
                    </a:stretch>
                  </pic:blipFill>
                  <pic:spPr>
                    <a:xfrm>
                      <a:off x="0" y="0"/>
                      <a:ext cx="5486400" cy="551468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6713437, E 516150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dropptaggsvamp (NT, T), tretåig hackspett (NT, T, §4), ullticka (NT, T), vedtrappmossa (NT, T) och nattskärra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