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283-2026 i Borlänge kommun</w:t>
      </w:r>
    </w:p>
    <w:p>
      <w:r>
        <w:t>Denna tillsynsbegäran behandlar höga naturvärden i samrådsanmälan S 283-2026 i Borlänge kommun som inkom 2026-02-03 och omfattar 7,1 ha.</w:t>
      </w:r>
    </w:p>
    <w:p>
      <w:pPr>
        <w:pStyle w:val="Caption"/>
      </w:pPr>
      <w:r>
        <w:drawing>
          <wp:inline xmlns:a="http://schemas.openxmlformats.org/drawingml/2006/main" xmlns:pic="http://schemas.openxmlformats.org/drawingml/2006/picture">
            <wp:extent cx="5486400" cy="4658727"/>
            <wp:docPr id="1" name="Picture 1"/>
            <wp:cNvGraphicFramePr>
              <a:graphicFrameLocks noChangeAspect="1"/>
            </wp:cNvGraphicFramePr>
            <a:graphic>
              <a:graphicData uri="http://schemas.openxmlformats.org/drawingml/2006/picture">
                <pic:pic>
                  <pic:nvPicPr>
                    <pic:cNvPr id="0" name="S 283-2026 karta.png"/>
                    <pic:cNvPicPr/>
                  </pic:nvPicPr>
                  <pic:blipFill>
                    <a:blip r:embed="rId16"/>
                    <a:stretch>
                      <a:fillRect/>
                    </a:stretch>
                  </pic:blipFill>
                  <pic:spPr>
                    <a:xfrm>
                      <a:off x="0" y="0"/>
                      <a:ext cx="5486400" cy="4658727"/>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6696106, E 512052 i SWEREF 99 TM.</w:t>
      </w:r>
    </w:p>
    <w:p>
      <w:r>
        <w:t>I samrådsanmälan finns fynd av 10 naturvårdsarter, varav 8 är rödlistade, 1 är fridlyst, 7 är typiska (T) och 2 är signalarter (S): blåtryffel (VU), citronporing (VU), gul taggsvamp (VU, T), brunlångöra (NT, §4a), dofttaggsvamp (NT, T), skuggblåslav (NT, T), ullticka (NT, T), vedtrappmossa (NT, T), strutbräken (S, T) och trådticka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Blåtryffel (VU)</w:t>
      </w:r>
      <w:r>
        <w:t>, som omfattas av ett åtgärdsprogram för hotade arter (ÅGP), bildar mykorrhiza med gran och påträffas i mossig gammal granskog med hög bonitet och permanent fuktig mark betingat av ett ytligt, rörligt markvatten, t.ex. vid källor och fuktdråg. Den är troligen något kalkgynnad och ofta finns det örtrika ljusluckor i skogen.</w:t>
      </w:r>
      <w:r>
        <w:rPr>
          <w:b/>
        </w:rPr>
        <w:t xml:space="preserve"> </w:t>
      </w:r>
      <w:r>
        <w:t>Blåtryffel har ett mycket högt signalvärde på skyddsvärda granbestånd och är en mycket bra indikator på några av barrskogslandskapets främsta naturvårdsobjekt. Svampen är extremt känslig för uttorkning och den tål ingen avverkning som kan förändra fuktighetsklimatet (SLU Artdatabanken, 2024; Nitare &amp; Skogsstyrelsen, 2019; Naturvårdsverket, 2005).</w:t>
      </w:r>
    </w:p>
    <w:p>
      <w:r>
        <w:rPr>
          <w:b/>
        </w:rPr>
        <w:t>Citronporing (VU)</w:t>
      </w:r>
      <w:r>
        <w:t xml:space="preserve"> växer på granlågor i naturskogsartade granskogar. Den påträffas ofta på eller nära fruktkroppar av klibbticka. Citronporing är globalt rödlistad som starkt hotad (EN) vilket innebär att Sverige har ett internationellt ansvar för arten. Alla skogsskötselåtgärder på eller i direkt anslutning till växtplatserna utgör ett hot och områden som hyser arten måste undantas helt från skogsbruk. Lokaler där citronporing påträffas bör ges ett juridiskt skydd (SLU Artdatabanken, 2026; IUCN, 2019).</w:t>
      </w:r>
    </w:p>
    <w:p>
      <w:r>
        <w:rPr>
          <w:b/>
        </w:rPr>
        <w:t xml:space="preserve">Gul taggsvamp (VU) </w:t>
      </w:r>
      <w:r>
        <w:t xml:space="preserve">bildar mykorrhiza med gran i äldre barrskog med lång kontinuitet. Förekommer på kalkrik eller annan basiskt påverkad mark, ofta i källpåverkade miljöer. Den totala populationen i landet har minskat kraftigt och bedöms fortsätta minska till följd av avverkning av äldre barrskog med lång trädkontinuitet. Minskningstakten överstiger gränsvärdet för sårbar (VU). Arten tål inte en slutavverkning utan kräver ett kontinuerligt äldre trädskikt med gran. Slutavverkning, kraftig gallring och skogsmarksgödsling måste helt undvikas och lokalerna bör skyddas formellt. Gul taggsvamp är typisk art för </w:t>
      </w:r>
      <w:r>
        <w:rPr>
          <w:i/>
        </w:rPr>
        <w:t>9050 Näringsrik granskog</w:t>
      </w:r>
      <w:r>
        <w:t xml:space="preserve"> (SLU Artdatabanken, 2026).</w:t>
      </w:r>
    </w:p>
    <w:p>
      <w:r>
        <w:rPr>
          <w:b/>
        </w:rPr>
        <w:t>Brunlångöra (NT, §4a)</w:t>
      </w:r>
      <w:r>
        <w:t xml:space="preserve"> omfattas av bilaga 4 EU:s art- och habitatdirektiv vilket innebär att arten och dess livsmiljöer är strikt skyddade. Brunlångöra förekommer framförallt inne i relativt tät skog men födosöker också i trädgårdar, parker och hagar. Den har minskat med 17,5 (5–30) % under de senaste 21 åren och minskningstakten för den svenska populationen bedöms vara nära gränsvärdet för Sårbar (VU). (A2bc). Brunlångöra är typisk art för </w:t>
      </w:r>
      <w:r>
        <w:rPr>
          <w:i/>
        </w:rPr>
        <w:t>8310 Grottor</w:t>
      </w:r>
      <w:r>
        <w:t xml:space="preserve"> och </w:t>
      </w:r>
      <w:r>
        <w:rPr>
          <w:i/>
        </w:rPr>
        <w:t>8330</w:t>
      </w:r>
      <w:r>
        <w:t xml:space="preserve"> (SLU Artdatabanken, 2024).</w:t>
      </w:r>
    </w:p>
    <w:p>
      <w:r>
        <w:rPr>
          <w:b/>
        </w:rPr>
        <w:t xml:space="preserve">Dofttaggsvamp (NT) </w:t>
      </w:r>
      <w:r>
        <w:t xml:space="preserve">bildar mykorrhiza med gran i framför allt äldre ängsgranskog eller örtrik granskog av frisk lågörttyp. Arten hotas huvudsakligen av slutavverkning och den överlever sannolikt inte en avverkning eftersom den är beroende de levande barrträdens rötter. Troligen missgynnas den av allt för hård gallring eller plockhuggning om huggningen inte efterföljs av skogsbete. Fler örtrika barrskogar, särskilt de med trädkontinuitet, måste skyddas i större utsträckning än vad som tidigare gjorts. Dofttaggsvamp är typisk art för </w:t>
      </w:r>
      <w:r>
        <w:rPr>
          <w:i/>
        </w:rPr>
        <w:t>9050 Näringsrik granskog</w:t>
      </w:r>
      <w:r>
        <w:t xml:space="preserve"> (SLU Artdatabanken, 2024).</w:t>
      </w:r>
    </w:p>
    <w:p>
      <w:r>
        <w:rPr>
          <w:b/>
        </w:rPr>
        <w:t>Skuggblåslav (NT)</w:t>
      </w:r>
      <w:r>
        <w:t xml:space="preserve"> växer på silikatsten eller gamla träd i äldre naturskogar med hög luftfuktighet. Den påverkas negativt av brist på kontinuitetsskog och minskningstakten för arten bedöms vara nära gränsvärdet för sårbar (VU). Skuggblåslav är typisk art för </w:t>
      </w:r>
      <w:r>
        <w:rPr>
          <w:i/>
        </w:rPr>
        <w:t xml:space="preserve">9010 Taiga </w:t>
      </w:r>
      <w:r>
        <w:t>(Nitare &amp; Skogsstyrelsen, 2019; SLU Artdatabanken, 2026).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 xml:space="preserve">Strutbräken </w:t>
      </w:r>
      <w:r>
        <w:t xml:space="preserve">är normalt en mycket bra och tydlig signalart som visar på flera olika fuktiga biotoper med rörligt markvatten som nästan alltid har höga naturvärden. Den växer på skuggiga, fuktiga, näringsrika mullmarker längs bäckdalar, åar, älvar, översilade sluttningar med högörtsgranskog och svämlövskogar med kortvarigt översvämmade sedimentplan. Växtplatserna har ytligt rörligt markvatten och konstant hög luftfuktighet. Arten är känslig för avverkning och dikning.Strutbräken är typisk art för </w:t>
      </w:r>
      <w:r>
        <w:rPr>
          <w:i/>
        </w:rPr>
        <w:t xml:space="preserve">9050 Näringsrik granskog, 9080 Lövsumpskog, 9750 Svämlövskog, 9760 Svämädellövskog </w:t>
      </w:r>
      <w:r>
        <w:t>och</w:t>
      </w:r>
      <w:r>
        <w:rPr>
          <w:i/>
        </w:rPr>
        <w:t xml:space="preserve"> 6430 Högörtängar</w:t>
      </w:r>
      <w:r>
        <w:t xml:space="preserve"> (Nitare &amp; Skogsstyrelsen, 2019; SLU Artdatabanken, 2025).</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samrådsanmälda skogen: gul taggsvamp (VU, T), dofttaggsvamp (NT, T), skuggblåslav (NT, T), ullticka (NT, T), vedtrappmossa (NT, T), strutbräken (S, T) och trådticka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Brunlångöra – ekologi samt krav på livsmiljön</w:t>
      </w:r>
    </w:p>
    <w:p>
      <w:r>
        <w:t>Brunlångöra (NT, §4a) omfattas av bilaga 4 EU:s art- och habitatdirektiv vilket innebär ett strikt skydd för arten och dess livsmiljöer. Den har minskat med 17,5 (5–30) % under de senaste 21 åren och minskningstakten för den svenska populationen bedöms vara nära gränsvärdet för Sårbar (VU). (A2bc) (SLU Artdatabanken, 2024).</w:t>
      </w:r>
    </w:p>
    <w:p>
      <w:r>
        <w:t>Brunlångöra förekommer framförallt inne i relativt tät skog men födosöker också runt hus, i parker, trädgårdar och hagar. Arten har ett mycket karakteristiskt jaktbeteende då den flyger tätt intill vegetationen så som träd och buskar eller lågt över marken där den plockar insekter och spindlar direkt från blad, grenar och grässtrån. Arten kan till och med ryttla, stå stilla i luften med fladdrande vingar. Kolonierna finns ofta i stora byggnader som kyrkor, lador och magasin. Arten påverkas negativt av belysning, och en kraftig minskning har observerats på ett antal koloniplatser i södra Sverige (SLU Artdatabanken, 2024).</w:t>
      </w:r>
    </w:p>
    <w:p>
      <w:r>
        <w:t xml:space="preserve">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Brunlångöra är typisk art för </w:t>
      </w:r>
      <w:r>
        <w:rPr>
          <w:i/>
        </w:rPr>
        <w:t>8310 Grottor</w:t>
      </w:r>
      <w:r>
        <w:t xml:space="preserve"> och </w:t>
      </w:r>
      <w:r>
        <w:rPr>
          <w:i/>
        </w:rPr>
        <w:t>8330 Havsgrottor</w:t>
      </w:r>
      <w:r>
        <w:t xml:space="preserve"> (SLU Artdatabanken, 2024).</w:t>
      </w:r>
    </w:p>
    <w:p>
      <w:pPr>
        <w:pStyle w:val="Heading2"/>
      </w:pPr>
      <w:r>
        <w:t>Referenser – brunlångöra</w:t>
      </w:r>
    </w:p>
    <w:p>
      <w:r>
        <w:t>SLU Artdatabanken, 2024.</w:t>
      </w:r>
      <w:r>
        <w:rPr>
          <w:i/>
        </w:rPr>
        <w:t xml:space="preserve"> Artfakta: brunlångöra (Plecotus auritus). </w:t>
      </w:r>
      <w:r>
        <w:t>https://artfakta.se/taxa/206002</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