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51953-2025 i Borlänge kommun</w:t>
      </w:r>
    </w:p>
    <w:p>
      <w:r>
        <w:t>Detta klagomål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6719011, E 517450 i SWEREF 99 TM.</w:t>
      </w:r>
    </w:p>
    <w:p>
      <w:r>
        <w:t>I och inom 12 meter från avverkningsanmälan finns fynd av 6 naturvårdsarter, varav 5 är rödlistade, 2 är fridlysta och 5 är typiska (T): knärot (VU, T, §8), skrovlig taggsvamp (VU), dropptaggsvamp (NT, T), orange 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432483"/>
            <wp:docPr id="2" name="Picture 2"/>
            <wp:cNvGraphicFramePr>
              <a:graphicFrameLocks noChangeAspect="1"/>
            </wp:cNvGraphicFramePr>
            <a:graphic>
              <a:graphicData uri="http://schemas.openxmlformats.org/drawingml/2006/picture">
                <pic:pic>
                  <pic:nvPicPr>
                    <pic:cNvPr id="0" name="A 51953-2025 karta knärot.png"/>
                    <pic:cNvPicPr/>
                  </pic:nvPicPr>
                  <pic:blipFill>
                    <a:blip r:embed="rId17"/>
                    <a:stretch>
                      <a:fillRect/>
                    </a:stretch>
                  </pic:blipFill>
                  <pic:spPr>
                    <a:xfrm>
                      <a:off x="0" y="0"/>
                      <a:ext cx="5486400" cy="4432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