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8533-2026 i Säters kommun</w:t>
      </w:r>
    </w:p>
    <w:p>
      <w:r>
        <w:t>Detta klagomål behandlar höga naturvärden i avverkningsanmälan A 8533-2026 i Säters kommun som inkom 2026-02-12 och omfattar 9,9 ha.</w:t>
      </w:r>
    </w:p>
    <w:p>
      <w:pPr>
        <w:pStyle w:val="Caption"/>
      </w:pPr>
      <w:r>
        <w:drawing>
          <wp:inline xmlns:a="http://schemas.openxmlformats.org/drawingml/2006/main" xmlns:pic="http://schemas.openxmlformats.org/drawingml/2006/picture">
            <wp:extent cx="5486400" cy="4626318"/>
            <wp:docPr id="1" name="Picture 1"/>
            <wp:cNvGraphicFramePr>
              <a:graphicFrameLocks noChangeAspect="1"/>
            </wp:cNvGraphicFramePr>
            <a:graphic>
              <a:graphicData uri="http://schemas.openxmlformats.org/drawingml/2006/picture">
                <pic:pic>
                  <pic:nvPicPr>
                    <pic:cNvPr id="0" name="A 8533-2026 karta.png"/>
                    <pic:cNvPicPr/>
                  </pic:nvPicPr>
                  <pic:blipFill>
                    <a:blip r:embed="rId16"/>
                    <a:stretch>
                      <a:fillRect/>
                    </a:stretch>
                  </pic:blipFill>
                  <pic:spPr>
                    <a:xfrm>
                      <a:off x="0" y="0"/>
                      <a:ext cx="5486400" cy="4626318"/>
                    </a:xfrm>
                    <a:prstGeom prst="rect"/>
                  </pic:spPr>
                </pic:pic>
              </a:graphicData>
            </a:graphic>
          </wp:inline>
        </w:drawing>
      </w:r>
    </w:p>
    <w:p>
      <w:pPr>
        <w:pStyle w:val="Caption"/>
        <w:spacing w:after="240"/>
      </w:pPr>
      <w:r>
        <w:t>Figur 1. Fyndplatser för naturvårdsarter i och inom 9 meter från avverkningsanmälan. Markörer utan svart kant är placerade på fyndplatsen. Markörer med svart kant är placerade vid sidan av fyndplatsen och har ett svart streck som visar fyndplatsens exakta position. Kartans mittpunktskoordinat är N 6709978, E 551694 i SWEREF 99 TM.</w:t>
      </w:r>
    </w:p>
    <w:p>
      <w:r>
        <w:t>I och inom 9 meter från avverkningsanmälan finns fynd av 8 naturvårdsarter, varav 4 är rödlistade, 3 är fridlysta, 6 är typiska (T) och 1 är signalart (S): ostticka (VU, T), dropptaggsvamp (NT, T), talltita (NT, §4), vedskivlav (NT, T), mindre märgborre (S, T), spillkråka (T, §4), timmerticka (T)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Ostticka (VU) </w:t>
      </w:r>
      <w:r>
        <w:t xml:space="preserve">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Ostticka är typisk art för </w:t>
      </w:r>
      <w:r>
        <w:rPr>
          <w:i/>
        </w:rPr>
        <w:t xml:space="preserve">9010 Taiga </w:t>
      </w:r>
      <w:r>
        <w:t xml:space="preserve">och </w:t>
      </w:r>
      <w:r>
        <w:rPr>
          <w:i/>
        </w:rPr>
        <w:t>9030 Landhöjningsskog</w:t>
      </w:r>
      <w:r>
        <w:t xml:space="preserve">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Timmerticka</w:t>
      </w:r>
      <w:r>
        <w:t xml:space="preserve"> är typisk art för </w:t>
      </w:r>
      <w:r>
        <w:rPr>
          <w:i/>
        </w:rPr>
        <w:t>9060 Åsbarrskog</w:t>
      </w:r>
      <w:r>
        <w:t>. Bland annat åtgärdsprogramsarten skrovlig flatbagge (NT) samt timmertickgnagare kan påträffas på eller i nära anslutning till fruktkroppar av timmerticka</w:t>
      </w:r>
      <w:r>
        <w:rPr>
          <w:i/>
        </w:rPr>
        <w:t xml:space="preserve"> </w:t>
      </w:r>
      <w:r>
        <w:t>(SLU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