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8533-2026 i Säters kommun</w:t>
      </w:r>
    </w:p>
    <w:p>
      <w:r>
        <w:t>Detta klagomål behandlar höga naturvärden i avverkningsanmälan A 8533-2026 i Säters kommun som inkom 2026-02-12 och omfattar 9,9 ha.</w:t>
      </w:r>
    </w:p>
    <w:p>
      <w:pPr>
        <w:pStyle w:val="Caption"/>
      </w:pPr>
      <w:r>
        <w:drawing>
          <wp:inline xmlns:a="http://schemas.openxmlformats.org/drawingml/2006/main" xmlns:pic="http://schemas.openxmlformats.org/drawingml/2006/picture">
            <wp:extent cx="5486400" cy="4626318"/>
            <wp:docPr id="1" name="Picture 1"/>
            <wp:cNvGraphicFramePr>
              <a:graphicFrameLocks noChangeAspect="1"/>
            </wp:cNvGraphicFramePr>
            <a:graphic>
              <a:graphicData uri="http://schemas.openxmlformats.org/drawingml/2006/picture">
                <pic:pic>
                  <pic:nvPicPr>
                    <pic:cNvPr id="0" name="A 8533-2026 karta.png"/>
                    <pic:cNvPicPr/>
                  </pic:nvPicPr>
                  <pic:blipFill>
                    <a:blip r:embed="rId16"/>
                    <a:stretch>
                      <a:fillRect/>
                    </a:stretch>
                  </pic:blipFill>
                  <pic:spPr>
                    <a:xfrm>
                      <a:off x="0" y="0"/>
                      <a:ext cx="5486400" cy="4626318"/>
                    </a:xfrm>
                    <a:prstGeom prst="rect"/>
                  </pic:spPr>
                </pic:pic>
              </a:graphicData>
            </a:graphic>
          </wp:inline>
        </w:drawing>
      </w:r>
    </w:p>
    <w:p>
      <w:pPr>
        <w:pStyle w:val="Caption"/>
        <w:spacing w:after="240"/>
      </w:pPr>
      <w:r>
        <w:t>Figur 1. Fyndplatser för naturvårdsarter i och inom 9 meter från avverkningsanmälan. Markörer utan svart kant är placerade på fyndplatsen. Markörer med svart kant är placerade vid sidan av fyndplatsen och har ett svart streck som visar fyndplatsens exakta position. Kartans mittpunktskoordinat är N 6709978, E 551694 i SWEREF 99 TM.</w:t>
      </w:r>
    </w:p>
    <w:p>
      <w:r>
        <w:t>I och inom 9 meter från avverkningsanmälan finns fynd av 8 naturvårdsarter, varav 4 är rödlistade, 3 är fridlysta, 6 är typiska (T) och 1 är signalart (S): ostticka (VU, T), dropptaggsvamp (NT, T), talltita (NT, §4), vedskivlav (NT, T), mindre märgborre (S, T), spillkråka (T, §4), timmerticka (T) och revlummer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 xml:space="preserve">Ostticka (VU) </w:t>
      </w:r>
      <w:r>
        <w:t xml:space="preserve">växer huvudsakligen på grova granlågor i urskogsartad barrskog. Växtplatserna ligger vanligtvis i brandrefugiala områden med relativt hög luftfuktighet där skogen under lång tid haft en intern beståndsdynamik med successivt avdöende träd. Alla skogsskötselåtgärder på eller i omedelbar närhet av lokalerna inverkar negativt på artens fortlevnad. Ostticka är typisk art för </w:t>
      </w:r>
      <w:r>
        <w:rPr>
          <w:i/>
        </w:rPr>
        <w:t xml:space="preserve">9010 Taiga </w:t>
      </w:r>
      <w:r>
        <w:t xml:space="preserve">och </w:t>
      </w:r>
      <w:r>
        <w:rPr>
          <w:i/>
        </w:rPr>
        <w:t>9030 Landhöjningsskog</w:t>
      </w:r>
      <w:r>
        <w:t xml:space="preserve"> (SLU Artdatabanken, 2024; Nitare &amp; Skogsstyrelsen, 2019).</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Mindre märgborre</w:t>
      </w:r>
      <w:r>
        <w:t xml:space="preserve"> är en signalart för tallskog med höga naturvärden och betraktas tillsammans med skarptandad barkborre som nyckelarter för ett antal sällsynta åtgärdsprogramsarter som är beroende av deras gångsystem. Bland dessa kan nämnas avlång barkborre (VU), </w:t>
      </w:r>
      <w:r>
        <w:rPr>
          <w:i/>
        </w:rPr>
        <w:t>Corticeus longulus</w:t>
      </w:r>
      <w:r>
        <w:t xml:space="preserve"> (VU), tallgångbagge (VU), cholodkovskys bastborre (NT) och tallbarksvartbagge (NT). Den mindre märgborrens måsvingeliknande gnaggångar är lätta att känna igen och hittas ofta på grova tallgrenar på marken. 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Mindre märgborre är typisk art för </w:t>
      </w:r>
      <w:r>
        <w:rPr>
          <w:i/>
        </w:rPr>
        <w:t>9060 Åsbarrskog</w:t>
      </w:r>
      <w:r>
        <w:t xml:space="preserve"> (SLU Artdatabanken, 2026; Pettersson, 2014; Hedgren, 2012; Gunnarsson m fl., 1999).</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Timmerticka</w:t>
      </w:r>
      <w:r>
        <w:t xml:space="preserve"> är typisk art för </w:t>
      </w:r>
      <w:r>
        <w:rPr>
          <w:i/>
        </w:rPr>
        <w:t>9060 Åsbarrskog</w:t>
      </w:r>
      <w:r>
        <w:t>. Bland annat åtgärdsprogramsarten skrovlig flatbagge (NT) samt timmertickgnagare kan påträffas på eller i nära anslutning till fruktkroppar av timmerticka</w:t>
      </w:r>
      <w:r>
        <w:rPr>
          <w:i/>
        </w:rPr>
        <w:t xml:space="preserve"> </w:t>
      </w:r>
      <w:r>
        <w:t>(SLU Artdatabanken, 2026).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8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som nyckelarter, eftersom en rad sällsynta efterföljande arter är beroende av deras gångsystem. Bland dessa kan nämnas åtgärdsprogramsarterna avlång barkborre (VU), </w:t>
      </w:r>
      <w:r>
        <w:rPr>
          <w:i/>
        </w:rPr>
        <w:t>Corticeus longulus</w:t>
      </w:r>
      <w:r>
        <w:t xml:space="preserve"> (VU), tallgångbagge (VU), cholodkovskys bastborre (NT) och tallbarksvartbagge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De barkborrar som missgynnas av större märgborre är i mycket högre grad gynnade av tallar som dör genom självgallring, dvs. i normalfallet skog som inte används till skogsproduktion (Pettersson, 2014; Wikars, skriftl.).</w:t>
      </w:r>
    </w:p>
    <w:p>
      <w:r>
        <w:t xml:space="preserve">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Mindre märgborre är typisk art för </w:t>
      </w:r>
      <w:r>
        <w:rPr>
          <w:i/>
        </w:rPr>
        <w:t>9060 Åsbarrskog</w:t>
      </w:r>
      <w:r>
        <w:t xml:space="preserve"> (Pettersson, 2014; SLU Artdatabanken, 2026).</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SLU Artdatabanken, 2026. </w:t>
      </w:r>
      <w:r>
        <w:rPr>
          <w:i/>
        </w:rPr>
        <w:t xml:space="preserve">Artfaktablad. Naturvård – artfakta. </w:t>
      </w:r>
      <w:r>
        <w:t>SLU Artdatabanken, Uppsala.</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