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35146-2025 i Säters kommun</w:t>
      </w:r>
    </w:p>
    <w:p>
      <w:r>
        <w:t>Denna tillsynsbegäran behandlar höga naturvärden i avverkningsanmälan A 35146-2025 i Säters kommun som inkom 2025-07-14 och omfattar 2,2 ha.</w:t>
      </w:r>
    </w:p>
    <w:p>
      <w:pPr>
        <w:pStyle w:val="Caption"/>
      </w:pPr>
      <w:r>
        <w:drawing>
          <wp:inline xmlns:a="http://schemas.openxmlformats.org/drawingml/2006/main" xmlns:pic="http://schemas.openxmlformats.org/drawingml/2006/picture">
            <wp:extent cx="5486400" cy="5064079"/>
            <wp:docPr id="1" name="Picture 1"/>
            <wp:cNvGraphicFramePr>
              <a:graphicFrameLocks noChangeAspect="1"/>
            </wp:cNvGraphicFramePr>
            <a:graphic>
              <a:graphicData uri="http://schemas.openxmlformats.org/drawingml/2006/picture">
                <pic:pic>
                  <pic:nvPicPr>
                    <pic:cNvPr id="0" name="A 35146-2025 karta.png"/>
                    <pic:cNvPicPr/>
                  </pic:nvPicPr>
                  <pic:blipFill>
                    <a:blip r:embed="rId16"/>
                    <a:stretch>
                      <a:fillRect/>
                    </a:stretch>
                  </pic:blipFill>
                  <pic:spPr>
                    <a:xfrm>
                      <a:off x="0" y="0"/>
                      <a:ext cx="5486400" cy="506407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6690354, E 527224 i SWEREF 99 TM.</w:t>
      </w:r>
    </w:p>
    <w:p>
      <w:r>
        <w:t>I och inom 21 meter från avverkningsanmälan finns fynd av 12 naturvårdsarter, varav 7 är rödlistade, 3 är fridlysta, 6 är typiska (T) och 3 är signalarter (S): skogsalm (EN), grangråticka (VU, T), gräddticka (VU), barrviolspindling (NT), gransotdyna (NT), rynkskinn (NT, T), ullticka (NT, T), grön sköldmossa (S, T, §8), svavelriska (S), tibast (S, T), blåsippa (T, §9)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Gräddticka (VU)</w:t>
      </w:r>
      <w:r>
        <w:t xml:space="preserve"> har klassificerats som en ”gammelskogsindikator” och signalerar granskogar med höga naturvärden. Den kräver miljöer med hög och jämn fuktighet och växtplatserna ligger oftast på näringsrik, fuktig eller blöt mark där lågan och den murkna veden hålls konstant fuktig. Slutavverkning av gammelgranskog är ett direkt hot mot artens existens i landet och artens växtplatser måste undantas från skogsbruk (SLU Artdatabanken, 2024; Nitare &amp; Skogsstyrelsen, 2019).</w:t>
      </w:r>
    </w:p>
    <w:p>
      <w:r>
        <w:rPr>
          <w:b/>
        </w:rPr>
        <w:t>Barrviolspindling (NT)</w:t>
      </w:r>
      <w:r>
        <w:t xml:space="preserve"> bildar mykorrhiza med gran, huvudsakligen i örtrika kalkpåverkade äldre granskogar. Arten är sannolikt uttorkningskänslig och knuten till granskogar med långvarig grankontinuitet. Den hotas främst av skogsavverkning och tycks försvinna efter slutavverkning, markberedning och plantering. Minskningstakten uppgår till 15 % inom 50 år och bedöms vara nära gränsvärdet för Sårbar (VU). (A2c+3c+4c)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grangråticka (VU, T), rynkskinn (NT, T), ullticka (NT, T), grön sköldmossa (S, T, §8), tibast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