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8524-2026 i Säters kommun</w:t>
      </w:r>
    </w:p>
    <w:p>
      <w:r>
        <w:t>Detta klagomål behandlar höga naturvärden i avverkningsanmälan A 8524-2026 i Säters kommun som inkom 2026-02-12 och omfattar 23,9 ha.</w:t>
      </w:r>
    </w:p>
    <w:p>
      <w:pPr>
        <w:pStyle w:val="Caption"/>
      </w:pPr>
      <w:r>
        <w:drawing>
          <wp:inline xmlns:a="http://schemas.openxmlformats.org/drawingml/2006/main" xmlns:pic="http://schemas.openxmlformats.org/drawingml/2006/picture">
            <wp:extent cx="5486400" cy="4602313"/>
            <wp:docPr id="1" name="Picture 1"/>
            <wp:cNvGraphicFramePr>
              <a:graphicFrameLocks noChangeAspect="1"/>
            </wp:cNvGraphicFramePr>
            <a:graphic>
              <a:graphicData uri="http://schemas.openxmlformats.org/drawingml/2006/picture">
                <pic:pic>
                  <pic:nvPicPr>
                    <pic:cNvPr id="0" name="A 8524-2026 karta.png"/>
                    <pic:cNvPicPr/>
                  </pic:nvPicPr>
                  <pic:blipFill>
                    <a:blip r:embed="rId16"/>
                    <a:stretch>
                      <a:fillRect/>
                    </a:stretch>
                  </pic:blipFill>
                  <pic:spPr>
                    <a:xfrm>
                      <a:off x="0" y="0"/>
                      <a:ext cx="5486400" cy="4602313"/>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6709476, E 551179 i SWEREF 99 TM.</w:t>
      </w:r>
    </w:p>
    <w:p>
      <w:r>
        <w:t>I och inom 23 meter från avverkningsanmälan finns fynd av 15 naturvårdsarter, varav 9 är rödlistade, 5 är fridlysta, 10 är typiska (T) och 2 är signalarter (S): knärot (VU, T, §8), aspskinn (NT), doftskinn (NT, T), dropptaggsvamp (NT, T), dvärgbägarlav (NT, T), kortskaftad ärgspik (NT), nordtagging (NT), talltita (NT, §4), vedskivlav (NT, T), mindre märgborre (S, T), vedticka (S, T), spillkråka (T, §4), timmerticka (T), tjäder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17 fyndplatser för knärot registrerade på Artportalen. Figur 2 visar gränserna för buffertzoner på 50 m, som behöver lämnas kring fyndplatserna för att knärotslokalerna inte ska försvinna vid en avverkning. Av det avverkningsanmälda området överlappar 5.83 ha med buffertzonerna och får av detta skäl inte avverkas.</w:t>
      </w:r>
    </w:p>
    <w:p>
      <w:pPr>
        <w:pStyle w:val="Caption"/>
      </w:pPr>
      <w:r>
        <w:drawing>
          <wp:inline xmlns:a="http://schemas.openxmlformats.org/drawingml/2006/main" xmlns:pic="http://schemas.openxmlformats.org/drawingml/2006/picture">
            <wp:extent cx="5486400" cy="5734707"/>
            <wp:docPr id="2" name="Picture 2"/>
            <wp:cNvGraphicFramePr>
              <a:graphicFrameLocks noChangeAspect="1"/>
            </wp:cNvGraphicFramePr>
            <a:graphic>
              <a:graphicData uri="http://schemas.openxmlformats.org/drawingml/2006/picture">
                <pic:pic>
                  <pic:nvPicPr>
                    <pic:cNvPr id="0" name="A 8524-2026 karta knärot.png"/>
                    <pic:cNvPicPr/>
                  </pic:nvPicPr>
                  <pic:blipFill>
                    <a:blip r:embed="rId17"/>
                    <a:stretch>
                      <a:fillRect/>
                    </a:stretch>
                  </pic:blipFill>
                  <pic:spPr>
                    <a:xfrm>
                      <a:off x="0" y="0"/>
                      <a:ext cx="5486400" cy="573470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6709476, E 551179 i SWEREF 99 TM.</w:t>
      </w:r>
    </w:p>
    <w:p>
      <w:r>
        <w:rPr>
          <w:b/>
        </w:rPr>
        <w:t>Aspskinn (NT)</w:t>
      </w:r>
      <w:r>
        <w:t xml:space="preserve"> är knuten till blandskog med kontinuerlig tillgång till asp och tycks främst förekomma i relativt frodiga och skuggiga blandskogar med stor tillgång på lågor i olika nedbrytningsstadier. I områden där aspskinn påträffas bör miljöerna sparas långsiktigt, vilket också gynnar en rad andra organismer (SLU Artdatabanken, 2024).</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Timmerticka</w:t>
      </w:r>
      <w:r>
        <w:t xml:space="preserve"> är typisk art för </w:t>
      </w:r>
      <w:r>
        <w:rPr>
          <w:i/>
        </w:rPr>
        <w:t>9060 Åsbarrskog</w:t>
      </w:r>
      <w:r>
        <w:t>. Bland annat åtgärdsprogramsarten skrovlig flatbagge (NT) samt timmertickgnagare kan påträffas på eller i nära anslutning till fruktkroppar av timmerticka</w:t>
      </w:r>
      <w:r>
        <w:rPr>
          <w:i/>
        </w:rPr>
        <w:t xml:space="preserve"> </w:t>
      </w:r>
      <w:r>
        <w:t>(SLU Artdatabanken, 2026).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15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