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35146-2025 i Säters kommun</w:t>
      </w:r>
    </w:p>
    <w:p>
      <w:r>
        <w:t>Detta dokument behandlar höga naturvärden i avverkningsanmälan A 35146-2025 i Säters kommun. Denna avverkningsanmälan inkom 2025-07-14 16:04:02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skogsalm (CR), grangråticka (VU), rynkskinn (VU), barrviolspindling (NT), ullticka (NT), grön sköldmossa (S, §8), svavelriska (S) och tibast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046"/>
            <wp:docPr id="1" name="Picture 1"/>
            <wp:cNvGraphicFramePr>
              <a:graphicFrameLocks noChangeAspect="1"/>
            </wp:cNvGraphicFramePr>
            <a:graphic>
              <a:graphicData uri="http://schemas.openxmlformats.org/drawingml/2006/picture">
                <pic:pic>
                  <pic:nvPicPr>
                    <pic:cNvPr id="0" name="A 35146-2025 karta.png"/>
                    <pic:cNvPicPr/>
                  </pic:nvPicPr>
                  <pic:blipFill>
                    <a:blip r:embed="rId16"/>
                    <a:stretch>
                      <a:fillRect/>
                    </a:stretch>
                  </pic:blipFill>
                  <pic:spPr>
                    <a:xfrm>
                      <a:off x="0" y="0"/>
                      <a:ext cx="5486400" cy="3767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6690354, E 527224 i SWEREF 99 TM.</w:t>
      </w:r>
    </w:p>
    <w:p>
      <w:r>
        <w:rPr>
          <w:b/>
        </w:rPr>
        <w:t>Barrviolspindling (NT)</w:t>
      </w:r>
      <w:r>
        <w:t xml:space="preserve"> bildar mykorrhiza med gran, huvudsakligen i örtrika kalkpåverkade äldre granskogar. Arten är sannolikt uttorkningskänslig och knuten till granskogar med långvarig grankontinuitet. Den hotas främst av skogsavverkning och tycks försvinna efter slutavverkning, markberedning och plantering. Minskningstakten uppgår till 15 % inom 50 år och bedöms vara nära gränsvärdet för Sårbar (VU). (A2c+3c+4c) (SLU Artdatabanken, 2024; Nitare &amp; Skogsstyrelsen, 2019).</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