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35411-2025 i Säters kommun</w:t>
      </w:r>
    </w:p>
    <w:p>
      <w:r>
        <w:t>Detta dokument behandlar höga naturvärden i avverkningsanmälan A 35411-2025 i Säters kommun. Denna avverkningsanmälan inkom 2025-07-17 09:08:32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laxporing (VU), rynkskinn (VU), spillkråka (NT, §4), ullticka (NT) och vanlig padda (§6).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5892"/>
            <wp:docPr id="1" name="Picture 1"/>
            <wp:cNvGraphicFramePr>
              <a:graphicFrameLocks noChangeAspect="1"/>
            </wp:cNvGraphicFramePr>
            <a:graphic>
              <a:graphicData uri="http://schemas.openxmlformats.org/drawingml/2006/picture">
                <pic:pic>
                  <pic:nvPicPr>
                    <pic:cNvPr id="0" name="A 35411-2025 karta.png"/>
                    <pic:cNvPicPr/>
                  </pic:nvPicPr>
                  <pic:blipFill>
                    <a:blip r:embed="rId16"/>
                    <a:stretch>
                      <a:fillRect/>
                    </a:stretch>
                  </pic:blipFill>
                  <pic:spPr>
                    <a:xfrm>
                      <a:off x="0" y="0"/>
                      <a:ext cx="5486400" cy="59958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6685741, E 543572 i SWEREF 99 TM.</w:t>
      </w:r>
    </w:p>
    <w:p>
      <w:r>
        <w:rPr>
          <w:b/>
        </w:rPr>
        <w:t>Laxporing (VU)</w:t>
      </w:r>
      <w:r>
        <w:t xml:space="preserve"> är knuten till naturskog med stor mängd död ved och kontinuitet på grova lågor. För att klara arten på sikt behövs att ytterligare områden med gammal skog undantas från skogsbruk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7560037"/>
            <wp:docPr id="2" name="Picture 2"/>
            <wp:cNvGraphicFramePr>
              <a:graphicFrameLocks noChangeAspect="1"/>
            </wp:cNvGraphicFramePr>
            <a:graphic>
              <a:graphicData uri="http://schemas.openxmlformats.org/drawingml/2006/picture">
                <pic:pic>
                  <pic:nvPicPr>
                    <pic:cNvPr id="0" name="A 35411-2025 karta knärot.png"/>
                    <pic:cNvPicPr/>
                  </pic:nvPicPr>
                  <pic:blipFill>
                    <a:blip r:embed="rId17"/>
                    <a:stretch>
                      <a:fillRect/>
                    </a:stretch>
                  </pic:blipFill>
                  <pic:spPr>
                    <a:xfrm>
                      <a:off x="0" y="0"/>
                      <a:ext cx="5486400" cy="75600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6685741, E 543572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