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50355-2025 i Säters kommun</w:t>
      </w:r>
    </w:p>
    <w:p>
      <w:r>
        <w:t>Detta dokument behandlar höga naturvärden i avverkningsanmälan A 50355-2025 i Säters kommun. Denna avverkningsanmälan inkom 2025-10-14 13:20:17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rynkskinn (VU), rosenticka (NT), slaguggla (NT, §4), ullticka (NT), olivspindling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50355-2025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6703678, E 545123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slaguggla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Slaguggla (NT, §4)</w:t>
      </w:r>
      <w:r>
        <w:t>, rödlistad som nära hotad, är fridlyst enligt 4 § artskyddsförordningen och ingår i bilaga 1 EU:s fågeldirektiv. Artens minskningstakt har uppgått till 17 (0–33) % under de senaste 24 åren och bedöms vara nära gränsvärdet för Sårbar (VU).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Slaguggla – ekologi samt krav på livsmiljön</w:t>
      </w:r>
    </w:p>
    <w:p>
      <w:r>
        <w:t>Slaguggla (NT, §4) häckar i skogsmark, oftast i anslutning till myrar, hyggen och inägor. Den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2024).</w:t>
      </w:r>
    </w:p>
    <w:p>
      <w:r>
        <w:t>Slaguggla (NT), fridlyst enligt §4 Artskyddsförordningen, är upptagen i bilaga 1 EU:s fågeldirektiv och bilaga 2 Bernkonventionen samt finns med som prioriterad art i Skogsstyrelsens vägledning för skogsbruket (SKSFS 2011:7). Minskningstakten har uppgått till 17 (0–33) % under de senaste 24 åren och bedöms vara nära gränsvärdet för Sårbar (VU). (A2bc) (SLU Artdatabanken, 2024).</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