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3187-2024 i Säters kommun</w:t>
      </w:r>
    </w:p>
    <w:p>
      <w:r>
        <w:t>Denna tillsynsbegäran behandlar höga naturvärden i samrådsanmälan S 3187-2024 i Säters kommun som inkom 2024-08-20 och omfattar 3,8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S 3187-2024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6681907, E 538411 i SWEREF 99 TM.</w:t>
      </w:r>
    </w:p>
    <w:p>
      <w:r>
        <w:t>I och inom 9 meter från samrådsanmälan finns fynd av 7 naturvårdsarter, varav 5 är rödlistade, 4 är typiska (T) och 2 är signalarter (S): gul taggsvamp (VU, T), tvillingspindling (VU), dofttaggsvamp (NT, T), kandelabersvamp (NT, T), rovspindling (NT),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Rovspindling (NT)</w:t>
      </w:r>
      <w:r>
        <w:t xml:space="preserve"> bildar mykorrhiza med gran i äldre granskog på näringsrik mark, främst i äldre kontinuitetsskog. Den totala populationen i landet bedöms ha minskat och förväntas fortsätta minska på grund av slutavverkning av äldre barrskog och kontinuitetsskog. Kända växtplatser bör säkerställas eller bevaras genom ett modifierat skogsbruk. Uttag av skog får ej ske som kalavverkning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